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9426" w14:textId="530029CA" w:rsidR="00DD5574" w:rsidRPr="008013F5" w:rsidRDefault="007464C6" w:rsidP="00DD5574">
      <w:pPr>
        <w:jc w:val="center"/>
        <w:rPr>
          <w:rFonts w:ascii="Times New Roman" w:hAnsi="Times New Roman" w:cs="Times New Roman"/>
          <w:b/>
          <w:bCs/>
          <w:color w:val="156082" w:themeColor="accent1"/>
          <w:sz w:val="28"/>
          <w:szCs w:val="28"/>
          <w:lang w:val="fr-FR"/>
        </w:rPr>
      </w:pPr>
      <w:r w:rsidRPr="008013F5">
        <w:rPr>
          <w:rFonts w:ascii="Times New Roman" w:hAnsi="Times New Roman" w:cs="Times New Roman"/>
          <w:b/>
          <w:bCs/>
          <w:color w:val="156082" w:themeColor="accent1"/>
          <w:sz w:val="28"/>
          <w:szCs w:val="28"/>
          <w:lang w:val="fr-FR"/>
        </w:rPr>
        <w:t xml:space="preserve">                                                                                                                                          </w:t>
      </w:r>
    </w:p>
    <w:p w14:paraId="54AF5FD5" w14:textId="77777777" w:rsidR="00DD5574" w:rsidRPr="008013F5" w:rsidRDefault="00DD5574" w:rsidP="00DD5574">
      <w:pPr>
        <w:jc w:val="center"/>
        <w:rPr>
          <w:rFonts w:ascii="Times New Roman" w:hAnsi="Times New Roman" w:cs="Times New Roman"/>
          <w:b/>
          <w:bCs/>
          <w:color w:val="156082" w:themeColor="accent1"/>
          <w:sz w:val="28"/>
          <w:szCs w:val="28"/>
          <w:lang w:val="fr-FR"/>
        </w:rPr>
      </w:pPr>
    </w:p>
    <w:p w14:paraId="35DB1822" w14:textId="77777777" w:rsidR="00476FA4" w:rsidRPr="008013F5" w:rsidRDefault="00BF6F90">
      <w:pPr>
        <w:jc w:val="center"/>
        <w:rPr>
          <w:rFonts w:ascii="Times New Roman" w:hAnsi="Times New Roman" w:cs="Times New Roman"/>
          <w:b/>
          <w:bCs/>
          <w:color w:val="156082" w:themeColor="accent1"/>
          <w:sz w:val="28"/>
          <w:szCs w:val="28"/>
          <w:lang w:val="fr-FR"/>
        </w:rPr>
      </w:pPr>
      <w:r w:rsidRPr="008013F5">
        <w:rPr>
          <w:rFonts w:ascii="Times New Roman" w:hAnsi="Times New Roman" w:cs="Times New Roman"/>
          <w:b/>
          <w:bCs/>
          <w:color w:val="156082" w:themeColor="accent1"/>
          <w:sz w:val="28"/>
          <w:szCs w:val="28"/>
          <w:lang w:val="fr-FR"/>
        </w:rPr>
        <w:t>MANDAT</w:t>
      </w:r>
    </w:p>
    <w:p w14:paraId="3139A4A6" w14:textId="77777777" w:rsidR="00476FA4" w:rsidRPr="008013F5" w:rsidRDefault="00BF6F90">
      <w:pPr>
        <w:jc w:val="center"/>
        <w:rPr>
          <w:rFonts w:ascii="Times New Roman" w:hAnsi="Times New Roman" w:cs="Times New Roman"/>
          <w:b/>
          <w:bCs/>
          <w:color w:val="156082" w:themeColor="accent1"/>
          <w:sz w:val="28"/>
          <w:szCs w:val="28"/>
          <w:lang w:val="fr-FR"/>
        </w:rPr>
      </w:pPr>
      <w:r w:rsidRPr="008013F5">
        <w:rPr>
          <w:rFonts w:ascii="Times New Roman" w:hAnsi="Times New Roman" w:cs="Times New Roman"/>
          <w:b/>
          <w:bCs/>
          <w:color w:val="156082" w:themeColor="accent1"/>
          <w:sz w:val="28"/>
          <w:szCs w:val="28"/>
          <w:lang w:val="fr-FR"/>
        </w:rPr>
        <w:br/>
        <w:t xml:space="preserve"> Évaluation à mi-parcours</w:t>
      </w:r>
    </w:p>
    <w:p w14:paraId="0B6E350C" w14:textId="77777777" w:rsidR="00476FA4" w:rsidRPr="008013F5" w:rsidRDefault="00BF6F90">
      <w:pPr>
        <w:jc w:val="center"/>
        <w:rPr>
          <w:rFonts w:ascii="Times New Roman" w:hAnsi="Times New Roman" w:cs="Times New Roman"/>
          <w:b/>
          <w:bCs/>
          <w:color w:val="156082" w:themeColor="accent1"/>
          <w:sz w:val="28"/>
          <w:szCs w:val="28"/>
          <w:lang w:val="fr-FR"/>
        </w:rPr>
      </w:pPr>
      <w:proofErr w:type="gramStart"/>
      <w:r w:rsidRPr="008013F5">
        <w:rPr>
          <w:rFonts w:ascii="Times New Roman" w:hAnsi="Times New Roman" w:cs="Times New Roman"/>
          <w:b/>
          <w:bCs/>
          <w:color w:val="156082" w:themeColor="accent1"/>
          <w:sz w:val="28"/>
          <w:szCs w:val="28"/>
          <w:lang w:val="fr-FR"/>
        </w:rPr>
        <w:t>du</w:t>
      </w:r>
      <w:proofErr w:type="gramEnd"/>
      <w:r w:rsidRPr="008013F5">
        <w:rPr>
          <w:rFonts w:ascii="Times New Roman" w:hAnsi="Times New Roman" w:cs="Times New Roman"/>
          <w:b/>
          <w:bCs/>
          <w:color w:val="156082" w:themeColor="accent1"/>
          <w:sz w:val="28"/>
          <w:szCs w:val="28"/>
          <w:lang w:val="fr-FR"/>
        </w:rPr>
        <w:t xml:space="preserve"> projet</w:t>
      </w:r>
    </w:p>
    <w:p w14:paraId="1DF5BE71" w14:textId="77777777" w:rsidR="00476FA4" w:rsidRPr="008013F5" w:rsidRDefault="00BF6F90">
      <w:pPr>
        <w:jc w:val="center"/>
        <w:rPr>
          <w:rFonts w:ascii="Times New Roman" w:hAnsi="Times New Roman" w:cs="Times New Roman"/>
          <w:color w:val="156082" w:themeColor="accent1"/>
          <w:sz w:val="25"/>
          <w:szCs w:val="25"/>
          <w:lang w:val="fr-FR"/>
        </w:rPr>
      </w:pPr>
      <w:r w:rsidRPr="008013F5">
        <w:rPr>
          <w:rFonts w:ascii="Times New Roman" w:hAnsi="Times New Roman" w:cs="Times New Roman"/>
          <w:i/>
          <w:iCs/>
          <w:color w:val="156082" w:themeColor="accent1"/>
          <w:sz w:val="25"/>
          <w:szCs w:val="25"/>
          <w:lang w:val="fr-FR"/>
        </w:rPr>
        <w:t>Promouvoir l'engagement des jeunes vulnérables dans la lutte contre l'extrémisme violent dans les zones frontalières du Mali et du Burkina Faso par le biais d'une approche de gouvernance participative et de réinsertion socio-économique</w:t>
      </w:r>
      <w:r w:rsidRPr="008013F5">
        <w:rPr>
          <w:rFonts w:ascii="Times New Roman" w:hAnsi="Times New Roman" w:cs="Times New Roman"/>
          <w:color w:val="156082" w:themeColor="accent1"/>
          <w:sz w:val="25"/>
          <w:szCs w:val="25"/>
          <w:lang w:val="fr-FR"/>
        </w:rPr>
        <w:t>.</w:t>
      </w:r>
    </w:p>
    <w:p w14:paraId="25347517" w14:textId="4DB72073" w:rsidR="005F5BC1" w:rsidRPr="008013F5" w:rsidRDefault="005F5BC1" w:rsidP="00C23757">
      <w:pPr>
        <w:rPr>
          <w:rFonts w:ascii="Times New Roman" w:hAnsi="Times New Roman" w:cs="Times New Roman"/>
          <w:color w:val="156082" w:themeColor="accent1"/>
          <w:sz w:val="25"/>
          <w:szCs w:val="25"/>
          <w:lang w:val="fr-FR"/>
        </w:rPr>
      </w:pPr>
      <w:r w:rsidRPr="008013F5">
        <w:rPr>
          <w:rFonts w:ascii="Times New Roman" w:hAnsi="Times New Roman" w:cs="Times New Roman"/>
          <w:color w:val="156082" w:themeColor="accent1"/>
          <w:sz w:val="25"/>
          <w:szCs w:val="25"/>
          <w:lang w:val="fr-FR"/>
        </w:rPr>
        <w:t xml:space="preserve"> </w:t>
      </w:r>
    </w:p>
    <w:p w14:paraId="26781A1D" w14:textId="77777777" w:rsidR="00407EA4" w:rsidRPr="008013F5" w:rsidRDefault="00407EA4">
      <w:pPr>
        <w:rPr>
          <w:rFonts w:ascii="Times New Roman" w:hAnsi="Times New Roman" w:cs="Times New Roman"/>
          <w:lang w:val="fr-FR"/>
        </w:rPr>
      </w:pPr>
    </w:p>
    <w:p w14:paraId="7797A78D" w14:textId="77777777" w:rsidR="00476FA4" w:rsidRPr="008013F5" w:rsidRDefault="00BF6F90">
      <w:pPr>
        <w:rPr>
          <w:rFonts w:ascii="Times New Roman" w:hAnsi="Times New Roman" w:cs="Times New Roman"/>
          <w:lang w:val="fr-FR"/>
        </w:rPr>
      </w:pPr>
      <w:r w:rsidRPr="008013F5">
        <w:rPr>
          <w:rFonts w:ascii="Times New Roman" w:hAnsi="Times New Roman" w:cs="Times New Roman"/>
          <w:lang w:val="fr-FR"/>
        </w:rPr>
        <w:t xml:space="preserve">Numéro de projet ADA : </w:t>
      </w:r>
      <w:r w:rsidR="0050375A" w:rsidRPr="008013F5">
        <w:rPr>
          <w:rFonts w:ascii="Times New Roman" w:hAnsi="Times New Roman" w:cs="Times New Roman"/>
          <w:lang w:val="fr-FR"/>
        </w:rPr>
        <w:t>2733-00/2023</w:t>
      </w:r>
    </w:p>
    <w:p w14:paraId="1003B666" w14:textId="77777777" w:rsidR="00476FA4" w:rsidRPr="008013F5" w:rsidRDefault="00BF6F90">
      <w:pPr>
        <w:rPr>
          <w:rFonts w:ascii="Times New Roman" w:hAnsi="Times New Roman" w:cs="Times New Roman"/>
          <w:lang w:val="fr-FR"/>
        </w:rPr>
      </w:pPr>
      <w:r w:rsidRPr="008013F5">
        <w:rPr>
          <w:rFonts w:ascii="Times New Roman" w:hAnsi="Times New Roman" w:cs="Times New Roman"/>
          <w:lang w:val="fr-FR"/>
        </w:rPr>
        <w:t>Durée du projet : 01.09.2023 - 31.08.2025</w:t>
      </w:r>
    </w:p>
    <w:p w14:paraId="7979295D" w14:textId="77777777" w:rsidR="00476FA4" w:rsidRDefault="0050375A">
      <w:pPr>
        <w:rPr>
          <w:rFonts w:ascii="Times New Roman" w:hAnsi="Times New Roman" w:cs="Times New Roman"/>
          <w:lang w:val="en-US"/>
        </w:rPr>
      </w:pPr>
      <w:r w:rsidRPr="00C24F16">
        <w:rPr>
          <w:rFonts w:ascii="Times New Roman" w:hAnsi="Times New Roman" w:cs="Times New Roman"/>
          <w:lang w:val="en-US"/>
        </w:rPr>
        <w:t xml:space="preserve">Budget du </w:t>
      </w:r>
      <w:proofErr w:type="spellStart"/>
      <w:r w:rsidRPr="00C24F16">
        <w:rPr>
          <w:rFonts w:ascii="Times New Roman" w:hAnsi="Times New Roman" w:cs="Times New Roman"/>
          <w:lang w:val="en-US"/>
        </w:rPr>
        <w:t>projet</w:t>
      </w:r>
      <w:proofErr w:type="spellEnd"/>
      <w:r w:rsidRPr="00C24F16">
        <w:rPr>
          <w:rFonts w:ascii="Times New Roman" w:hAnsi="Times New Roman" w:cs="Times New Roman"/>
          <w:lang w:val="en-US"/>
        </w:rPr>
        <w:t xml:space="preserve"> : 550 600 euros</w:t>
      </w:r>
    </w:p>
    <w:p w14:paraId="7733844D" w14:textId="77777777" w:rsidR="00773C06" w:rsidRPr="00C24F16" w:rsidRDefault="00773C06" w:rsidP="00516DA9">
      <w:pPr>
        <w:pStyle w:val="Heading2"/>
        <w:rPr>
          <w:rFonts w:ascii="Times New Roman" w:hAnsi="Times New Roman" w:cs="Times New Roman"/>
          <w:b/>
          <w:bCs/>
          <w:sz w:val="25"/>
          <w:szCs w:val="25"/>
          <w:lang w:val="en-US"/>
        </w:rPr>
        <w:sectPr w:rsidR="00773C06" w:rsidRPr="00C24F16">
          <w:footerReference w:type="even" r:id="rId8"/>
          <w:footerReference w:type="default" r:id="rId9"/>
          <w:pgSz w:w="11906" w:h="16838"/>
          <w:pgMar w:top="1440" w:right="1440" w:bottom="1440" w:left="1440" w:header="708" w:footer="708" w:gutter="0"/>
          <w:cols w:space="708"/>
          <w:docGrid w:linePitch="360"/>
        </w:sectPr>
      </w:pPr>
    </w:p>
    <w:p w14:paraId="1FB05318" w14:textId="77777777" w:rsidR="00476FA4" w:rsidRDefault="00BF6F90">
      <w:pPr>
        <w:pStyle w:val="Heading2"/>
        <w:numPr>
          <w:ilvl w:val="0"/>
          <w:numId w:val="10"/>
        </w:numPr>
        <w:rPr>
          <w:rFonts w:ascii="Times New Roman" w:hAnsi="Times New Roman" w:cs="Times New Roman"/>
          <w:b/>
          <w:bCs/>
          <w:sz w:val="25"/>
          <w:szCs w:val="25"/>
          <w:lang w:val="en-US"/>
        </w:rPr>
      </w:pPr>
      <w:bookmarkStart w:id="0" w:name="_Toc177562442"/>
      <w:bookmarkStart w:id="1" w:name="_Toc177562534"/>
      <w:bookmarkStart w:id="2" w:name="_Toc183474623"/>
      <w:r w:rsidRPr="00C24F16">
        <w:rPr>
          <w:rFonts w:ascii="Times New Roman" w:hAnsi="Times New Roman" w:cs="Times New Roman"/>
          <w:b/>
          <w:bCs/>
          <w:sz w:val="25"/>
          <w:szCs w:val="25"/>
          <w:lang w:val="en-US"/>
        </w:rPr>
        <w:lastRenderedPageBreak/>
        <w:t>Contexte et historique</w:t>
      </w:r>
      <w:bookmarkEnd w:id="0"/>
      <w:bookmarkEnd w:id="1"/>
      <w:bookmarkEnd w:id="2"/>
    </w:p>
    <w:p w14:paraId="4A7077D7" w14:textId="77777777" w:rsidR="00476FA4" w:rsidRPr="008013F5" w:rsidRDefault="00BF6F90">
      <w:pPr>
        <w:rPr>
          <w:rFonts w:ascii="Times New Roman" w:hAnsi="Times New Roman" w:cs="Times New Roman"/>
          <w:b/>
          <w:bCs/>
          <w:lang w:val="fr-FR"/>
        </w:rPr>
      </w:pPr>
      <w:r w:rsidRPr="008013F5">
        <w:rPr>
          <w:rFonts w:ascii="Times New Roman" w:hAnsi="Times New Roman" w:cs="Times New Roman"/>
          <w:b/>
          <w:bCs/>
          <w:lang w:val="fr-FR"/>
        </w:rPr>
        <w:t>Le contexte économique et politique dans lequel le projet est mis en œuvre</w:t>
      </w:r>
    </w:p>
    <w:p w14:paraId="57B24ED1" w14:textId="51DE1FC0"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 xml:space="preserve">Depuis 2012, le Mali traverse une crise multidimensionnelle caractérisée par des conflits violents de diverses formes (affrontements communautaires, crimes transfrontaliers et banditisme, conflits autour des ressources naturelles et du contrôle des </w:t>
      </w:r>
      <w:r w:rsidR="008013F5" w:rsidRPr="008013F5">
        <w:rPr>
          <w:rFonts w:ascii="Times New Roman" w:hAnsi="Times New Roman" w:cs="Times New Roman"/>
          <w:lang w:val="fr-FR"/>
        </w:rPr>
        <w:t>rout</w:t>
      </w:r>
      <w:r w:rsidR="008013F5">
        <w:rPr>
          <w:rFonts w:ascii="Times New Roman" w:hAnsi="Times New Roman" w:cs="Times New Roman"/>
          <w:lang w:val="fr-FR"/>
        </w:rPr>
        <w:t>es</w:t>
      </w:r>
      <w:r w:rsidRPr="008013F5">
        <w:rPr>
          <w:rFonts w:ascii="Times New Roman" w:hAnsi="Times New Roman" w:cs="Times New Roman"/>
          <w:lang w:val="fr-FR"/>
        </w:rPr>
        <w:t xml:space="preserve"> de transhumance, extrémisme violent, justice contestée, etc.) </w:t>
      </w:r>
    </w:p>
    <w:p w14:paraId="6E868E5A" w14:textId="2EE46F74"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 xml:space="preserve">Tous ces facteurs ont progressivement affaibli la confiance de la population envers l'État, ce qui a abouti à des rébellions armées dans le Nord (2012) et le Centre (2016), qui ont </w:t>
      </w:r>
      <w:r w:rsidR="0018008B">
        <w:rPr>
          <w:rFonts w:ascii="Times New Roman" w:hAnsi="Times New Roman" w:cs="Times New Roman"/>
          <w:lang w:val="fr-FR"/>
        </w:rPr>
        <w:t>profité</w:t>
      </w:r>
      <w:r w:rsidRPr="008013F5">
        <w:rPr>
          <w:rFonts w:ascii="Times New Roman" w:hAnsi="Times New Roman" w:cs="Times New Roman"/>
          <w:lang w:val="fr-FR"/>
        </w:rPr>
        <w:t xml:space="preserve"> des griefs politiques et </w:t>
      </w:r>
      <w:proofErr w:type="spellStart"/>
      <w:r w:rsidRPr="008013F5">
        <w:rPr>
          <w:rFonts w:ascii="Times New Roman" w:hAnsi="Times New Roman" w:cs="Times New Roman"/>
          <w:lang w:val="fr-FR"/>
        </w:rPr>
        <w:t>ethno-religieux</w:t>
      </w:r>
      <w:proofErr w:type="spellEnd"/>
      <w:r w:rsidRPr="008013F5">
        <w:rPr>
          <w:rFonts w:ascii="Times New Roman" w:hAnsi="Times New Roman" w:cs="Times New Roman"/>
          <w:lang w:val="fr-FR"/>
        </w:rPr>
        <w:t xml:space="preserve"> </w:t>
      </w:r>
      <w:r w:rsidR="0018008B">
        <w:rPr>
          <w:rFonts w:ascii="Times New Roman" w:hAnsi="Times New Roman" w:cs="Times New Roman"/>
          <w:lang w:val="fr-FR"/>
        </w:rPr>
        <w:t xml:space="preserve">pour s’emparer </w:t>
      </w:r>
      <w:r w:rsidRPr="008013F5">
        <w:rPr>
          <w:rFonts w:ascii="Times New Roman" w:hAnsi="Times New Roman" w:cs="Times New Roman"/>
          <w:lang w:val="fr-FR"/>
        </w:rPr>
        <w:t>de pans entiers du territoire.</w:t>
      </w:r>
    </w:p>
    <w:p w14:paraId="3B0FF826"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 xml:space="preserve">La violence djihadiste s'est propagée au-delà des frontières - au Burkina Faso, jusqu'à récemment reconnu comme relativement paisible et stable, elle a forcé au moins 1,8 million de personnes à se déplacer. Les attaques contre les détachements militaires se multiplient et deviennent plus complexes et ambitieuses, en particulier dans les zones frontalières. </w:t>
      </w:r>
    </w:p>
    <w:p w14:paraId="6EAFA165"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Des facteurs économiques tels que le manque d'opportunités économiques, les faibles niveaux d'éducation et d'alphabétisation, la mauvaise gestion des ressources naturelles aggravent également la situation d'une population de plus en plus jeune et extrêmement pauvre. Elle vit de plus en plus souvent sans accès aux services sociaux de base (éducation, santé, accès à l'eau potable...).</w:t>
      </w:r>
    </w:p>
    <w:p w14:paraId="62CF867E"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 xml:space="preserve">L'extrême pauvreté présente également un risque social : les jeunes ne sont pas </w:t>
      </w:r>
      <w:r w:rsidR="00F70097" w:rsidRPr="008013F5">
        <w:rPr>
          <w:rFonts w:ascii="Times New Roman" w:hAnsi="Times New Roman" w:cs="Times New Roman"/>
          <w:lang w:val="fr-FR"/>
        </w:rPr>
        <w:t>en</w:t>
      </w:r>
      <w:r w:rsidRPr="008013F5">
        <w:rPr>
          <w:rFonts w:ascii="Times New Roman" w:hAnsi="Times New Roman" w:cs="Times New Roman"/>
          <w:lang w:val="fr-FR"/>
        </w:rPr>
        <w:t xml:space="preserve"> mesure de se marier et/ou de fonder une famille, ce qui les prive des droits et privilèges accordés par cette société patriarcale aux personnes mariées (en particulier aux hommes). Les jeunes filles et garçons des zones rurales sont donc marginalisés par rapport à l'organisation socio-politique et économique de leurs localités et participent très peu aux mécanismes de prise de décision, aux processus et à la gestion de leur situation économique et de leur épanouissement personnel. </w:t>
      </w:r>
    </w:p>
    <w:p w14:paraId="4E6771B4"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L'extrémisme violent a rendu plus complexe la situation politique et sécuritaire au Mali et au Burkina Faso. En conséquence, de nombreux jeunes vulnérables sont à la recherche de moyens de survie et d'opportunités économiques, des incitations que les groupes extrémistes violents utilisent avec succès pour attirer de nouvelles recrues à travers les régions frontalières avec le Mali. Les deux pays ont connu une augmentation des attaques djihadistes touchant les jeunes dans les régions frontalières. Ces évolut</w:t>
      </w:r>
      <w:r w:rsidRPr="008013F5">
        <w:rPr>
          <w:rFonts w:ascii="Times New Roman" w:hAnsi="Times New Roman" w:cs="Times New Roman"/>
          <w:lang w:val="fr-FR"/>
        </w:rPr>
        <w:t>ions ont fait de la prévention de l'extrémisme violent (PVE), avec un accent particulier sur les jeunes (garçons et filles), une priorité essentielle pour les gouvernements et la communauté internationale.</w:t>
      </w:r>
    </w:p>
    <w:p w14:paraId="7181EFBD" w14:textId="77777777" w:rsidR="00476FA4" w:rsidRPr="008013F5" w:rsidRDefault="00BF6F90">
      <w:pPr>
        <w:overflowPunct w:val="0"/>
        <w:autoSpaceDE w:val="0"/>
        <w:autoSpaceDN w:val="0"/>
        <w:adjustRightInd w:val="0"/>
        <w:spacing w:line="276" w:lineRule="auto"/>
        <w:ind w:right="28"/>
        <w:jc w:val="both"/>
        <w:textAlignment w:val="baseline"/>
        <w:rPr>
          <w:rFonts w:ascii="Times New Roman" w:hAnsi="Times New Roman" w:cs="Times New Roman"/>
          <w:b/>
          <w:bCs/>
          <w:lang w:val="fr-FR"/>
        </w:rPr>
      </w:pPr>
      <w:r w:rsidRPr="008013F5">
        <w:rPr>
          <w:rFonts w:ascii="Times New Roman" w:hAnsi="Times New Roman" w:cs="Times New Roman"/>
          <w:b/>
          <w:bCs/>
          <w:lang w:val="fr-FR"/>
        </w:rPr>
        <w:t>Contexte du projet</w:t>
      </w:r>
    </w:p>
    <w:p w14:paraId="20D70E56"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Dans ce contexte, International Alert (IA) met en œuvre un projet intitulé "</w:t>
      </w:r>
      <w:r w:rsidRPr="008013F5">
        <w:rPr>
          <w:rFonts w:ascii="Times New Roman" w:hAnsi="Times New Roman" w:cs="Times New Roman"/>
          <w:i/>
          <w:iCs/>
          <w:lang w:val="fr-FR"/>
        </w:rPr>
        <w:t>Promouvoir l'engagement des jeunes vulnérables dans la lutte contre l'extrémisme violent dans les zones frontalières du Mali et du Burkina Faso à travers une approche de gouvernance participative et de réinsertion socio-économique"</w:t>
      </w:r>
      <w:r w:rsidRPr="008013F5">
        <w:rPr>
          <w:rFonts w:ascii="Times New Roman" w:hAnsi="Times New Roman" w:cs="Times New Roman"/>
          <w:lang w:val="fr-FR"/>
        </w:rPr>
        <w:t xml:space="preserve">. Le projet vise à réduire les niveaux </w:t>
      </w:r>
      <w:r w:rsidR="0052630F" w:rsidRPr="008013F5">
        <w:rPr>
          <w:rFonts w:ascii="Times New Roman" w:hAnsi="Times New Roman" w:cs="Times New Roman"/>
          <w:lang w:val="fr-FR"/>
        </w:rPr>
        <w:t xml:space="preserve">élevés </w:t>
      </w:r>
      <w:r w:rsidRPr="008013F5">
        <w:rPr>
          <w:rFonts w:ascii="Times New Roman" w:hAnsi="Times New Roman" w:cs="Times New Roman"/>
          <w:lang w:val="fr-FR"/>
        </w:rPr>
        <w:t xml:space="preserve">d'extrémisme violent et à promouvoir une sécurité plus efficace, responsable, basée sur la confiance et la collaboration par les forces de sécurité et de </w:t>
      </w:r>
      <w:r w:rsidR="00F70097" w:rsidRPr="008013F5">
        <w:rPr>
          <w:rFonts w:ascii="Times New Roman" w:hAnsi="Times New Roman" w:cs="Times New Roman"/>
          <w:lang w:val="fr-FR"/>
        </w:rPr>
        <w:t xml:space="preserve">défense </w:t>
      </w:r>
      <w:r w:rsidR="005F0210" w:rsidRPr="008013F5">
        <w:rPr>
          <w:rFonts w:ascii="Times New Roman" w:hAnsi="Times New Roman" w:cs="Times New Roman"/>
          <w:lang w:val="fr-FR"/>
        </w:rPr>
        <w:t xml:space="preserve">maliennes </w:t>
      </w:r>
      <w:r w:rsidRPr="008013F5">
        <w:rPr>
          <w:rFonts w:ascii="Times New Roman" w:hAnsi="Times New Roman" w:cs="Times New Roman"/>
          <w:lang w:val="fr-FR"/>
        </w:rPr>
        <w:t xml:space="preserve">pour s'attaquer aux causes profondes de </w:t>
      </w:r>
      <w:r w:rsidR="005F0210" w:rsidRPr="008013F5">
        <w:rPr>
          <w:rFonts w:ascii="Times New Roman" w:hAnsi="Times New Roman" w:cs="Times New Roman"/>
          <w:lang w:val="fr-FR"/>
        </w:rPr>
        <w:t xml:space="preserve">l'extrémisme violent </w:t>
      </w:r>
      <w:r w:rsidRPr="008013F5">
        <w:rPr>
          <w:rFonts w:ascii="Times New Roman" w:hAnsi="Times New Roman" w:cs="Times New Roman"/>
          <w:lang w:val="fr-FR"/>
        </w:rPr>
        <w:t>da</w:t>
      </w:r>
      <w:r w:rsidRPr="008013F5">
        <w:rPr>
          <w:rFonts w:ascii="Times New Roman" w:hAnsi="Times New Roman" w:cs="Times New Roman"/>
          <w:lang w:val="fr-FR"/>
        </w:rPr>
        <w:t xml:space="preserve">ns le centre du Mali et </w:t>
      </w:r>
      <w:r w:rsidR="00515A75" w:rsidRPr="008013F5">
        <w:rPr>
          <w:rFonts w:ascii="Times New Roman" w:hAnsi="Times New Roman" w:cs="Times New Roman"/>
          <w:lang w:val="fr-FR"/>
        </w:rPr>
        <w:t xml:space="preserve">aux </w:t>
      </w:r>
      <w:r w:rsidRPr="008013F5">
        <w:rPr>
          <w:rFonts w:ascii="Times New Roman" w:hAnsi="Times New Roman" w:cs="Times New Roman"/>
          <w:lang w:val="fr-FR"/>
        </w:rPr>
        <w:t>frontières avec le Burkina Faso.</w:t>
      </w:r>
    </w:p>
    <w:p w14:paraId="754DC9A3" w14:textId="77777777" w:rsidR="00476FA4" w:rsidRPr="008013F5" w:rsidRDefault="00BF6F90">
      <w:pPr>
        <w:spacing w:line="276" w:lineRule="auto"/>
        <w:jc w:val="both"/>
        <w:rPr>
          <w:rFonts w:ascii="Times New Roman" w:hAnsi="Times New Roman" w:cs="Times New Roman"/>
          <w:lang w:val="fr-FR"/>
        </w:rPr>
      </w:pPr>
      <w:r w:rsidRPr="00C24F16">
        <w:rPr>
          <w:noProof/>
        </w:rPr>
        <w:lastRenderedPageBreak/>
        <w:drawing>
          <wp:anchor distT="0" distB="0" distL="114300" distR="114300" simplePos="0" relativeHeight="251659264" behindDoc="0" locked="0" layoutInCell="1" allowOverlap="1" wp14:anchorId="607CF9FD" wp14:editId="7283C5BF">
            <wp:simplePos x="0" y="0"/>
            <wp:positionH relativeFrom="margin">
              <wp:posOffset>4445</wp:posOffset>
            </wp:positionH>
            <wp:positionV relativeFrom="paragraph">
              <wp:posOffset>20320</wp:posOffset>
            </wp:positionV>
            <wp:extent cx="3628390" cy="2037080"/>
            <wp:effectExtent l="12700" t="12700" r="1651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8390" cy="203708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007073A1" w:rsidRPr="008013F5">
        <w:rPr>
          <w:rFonts w:ascii="Times New Roman" w:hAnsi="Times New Roman" w:cs="Times New Roman"/>
          <w:lang w:val="fr-FR"/>
        </w:rPr>
        <w:t xml:space="preserve">Ce projet </w:t>
      </w:r>
      <w:r w:rsidRPr="008013F5">
        <w:rPr>
          <w:rFonts w:ascii="Times New Roman" w:hAnsi="Times New Roman" w:cs="Times New Roman"/>
          <w:lang w:val="fr-FR"/>
        </w:rPr>
        <w:t xml:space="preserve">est </w:t>
      </w:r>
      <w:r w:rsidR="00765F0E" w:rsidRPr="008013F5">
        <w:rPr>
          <w:rFonts w:ascii="Times New Roman" w:hAnsi="Times New Roman" w:cs="Times New Roman"/>
          <w:lang w:val="fr-FR"/>
        </w:rPr>
        <w:t xml:space="preserve">mis en œuvre au Mali, </w:t>
      </w:r>
      <w:r w:rsidRPr="008013F5">
        <w:rPr>
          <w:rFonts w:ascii="Times New Roman" w:hAnsi="Times New Roman" w:cs="Times New Roman"/>
          <w:lang w:val="fr-FR"/>
        </w:rPr>
        <w:t xml:space="preserve">dans les </w:t>
      </w:r>
      <w:r w:rsidR="00EC2676" w:rsidRPr="008013F5">
        <w:rPr>
          <w:rFonts w:ascii="Times New Roman" w:hAnsi="Times New Roman" w:cs="Times New Roman"/>
          <w:lang w:val="fr-FR"/>
        </w:rPr>
        <w:t xml:space="preserve">régions de Mopti, Ségou et Sikasso. Sept communes sont ciblées : Mopti et Douentza (Mopti) ; Ségou et </w:t>
      </w:r>
      <w:proofErr w:type="spellStart"/>
      <w:r w:rsidR="00D333E3" w:rsidRPr="008013F5">
        <w:rPr>
          <w:rFonts w:ascii="Times New Roman" w:hAnsi="Times New Roman" w:cs="Times New Roman"/>
          <w:lang w:val="fr-FR"/>
        </w:rPr>
        <w:t>Tominian</w:t>
      </w:r>
      <w:proofErr w:type="spellEnd"/>
      <w:r w:rsidR="00D333E3" w:rsidRPr="008013F5">
        <w:rPr>
          <w:rFonts w:ascii="Times New Roman" w:hAnsi="Times New Roman" w:cs="Times New Roman"/>
          <w:lang w:val="fr-FR"/>
        </w:rPr>
        <w:t xml:space="preserve"> </w:t>
      </w:r>
      <w:r w:rsidR="00EC2676" w:rsidRPr="008013F5">
        <w:rPr>
          <w:rFonts w:ascii="Times New Roman" w:hAnsi="Times New Roman" w:cs="Times New Roman"/>
          <w:lang w:val="fr-FR"/>
        </w:rPr>
        <w:t xml:space="preserve">(Ségou) ; </w:t>
      </w:r>
      <w:r w:rsidR="00227CEC" w:rsidRPr="008013F5">
        <w:rPr>
          <w:rFonts w:ascii="Times New Roman" w:hAnsi="Times New Roman" w:cs="Times New Roman"/>
          <w:lang w:val="fr-FR"/>
        </w:rPr>
        <w:t xml:space="preserve">Sikasso, </w:t>
      </w:r>
      <w:proofErr w:type="spellStart"/>
      <w:r w:rsidR="00227CEC" w:rsidRPr="008013F5">
        <w:rPr>
          <w:rFonts w:ascii="Times New Roman" w:hAnsi="Times New Roman" w:cs="Times New Roman"/>
          <w:lang w:val="fr-FR"/>
        </w:rPr>
        <w:t>Hérémanoko</w:t>
      </w:r>
      <w:proofErr w:type="spellEnd"/>
      <w:r w:rsidR="00227CEC" w:rsidRPr="008013F5">
        <w:rPr>
          <w:rFonts w:ascii="Times New Roman" w:hAnsi="Times New Roman" w:cs="Times New Roman"/>
          <w:lang w:val="fr-FR"/>
        </w:rPr>
        <w:t xml:space="preserve"> et </w:t>
      </w:r>
      <w:proofErr w:type="spellStart"/>
      <w:r w:rsidR="00227CEC" w:rsidRPr="008013F5">
        <w:rPr>
          <w:rFonts w:ascii="Times New Roman" w:hAnsi="Times New Roman" w:cs="Times New Roman"/>
          <w:lang w:val="fr-FR"/>
        </w:rPr>
        <w:t>Koury</w:t>
      </w:r>
      <w:proofErr w:type="spellEnd"/>
      <w:r w:rsidR="00227CEC" w:rsidRPr="008013F5">
        <w:rPr>
          <w:rFonts w:ascii="Times New Roman" w:hAnsi="Times New Roman" w:cs="Times New Roman"/>
          <w:lang w:val="fr-FR"/>
        </w:rPr>
        <w:t xml:space="preserve"> (Sikasso).</w:t>
      </w:r>
    </w:p>
    <w:p w14:paraId="443D6E99"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 xml:space="preserve">Le projet </w:t>
      </w:r>
      <w:r w:rsidR="007073A1" w:rsidRPr="008013F5">
        <w:rPr>
          <w:rFonts w:ascii="Times New Roman" w:hAnsi="Times New Roman" w:cs="Times New Roman"/>
          <w:lang w:val="fr-FR"/>
        </w:rPr>
        <w:t>vise principalement les jeunes hommes et femmes des communautés par l'intermédiaire des conseils locaux et communaux de la jeunesse, des représentants des forces de sécurité et de défense et des autorités locales en tant que bénéficiaires directs. Les bénéficiaires directs</w:t>
      </w:r>
      <w:r w:rsidR="00255774" w:rsidRPr="008013F5">
        <w:rPr>
          <w:rFonts w:ascii="Times New Roman" w:hAnsi="Times New Roman" w:cs="Times New Roman"/>
          <w:lang w:val="fr-FR"/>
        </w:rPr>
        <w:t xml:space="preserve"> prévus </w:t>
      </w:r>
      <w:r w:rsidR="007647B8" w:rsidRPr="008013F5">
        <w:rPr>
          <w:rFonts w:ascii="Times New Roman" w:hAnsi="Times New Roman" w:cs="Times New Roman"/>
          <w:lang w:val="fr-FR"/>
        </w:rPr>
        <w:t>sont</w:t>
      </w:r>
      <w:r w:rsidR="007073A1" w:rsidRPr="008013F5">
        <w:rPr>
          <w:rFonts w:ascii="Times New Roman" w:hAnsi="Times New Roman" w:cs="Times New Roman"/>
          <w:lang w:val="fr-FR"/>
        </w:rPr>
        <w:t xml:space="preserve"> estimés à un total de 1 000 personnes (réparties entre 500 hommes et 500 femmes). Au total, 138 522 personnes (dont 50 % de femmes) </w:t>
      </w:r>
      <w:r w:rsidR="00510CE0" w:rsidRPr="008013F5">
        <w:rPr>
          <w:rFonts w:ascii="Times New Roman" w:hAnsi="Times New Roman" w:cs="Times New Roman"/>
          <w:lang w:val="fr-FR"/>
        </w:rPr>
        <w:t xml:space="preserve">devraient </w:t>
      </w:r>
      <w:r w:rsidR="007073A1" w:rsidRPr="008013F5">
        <w:rPr>
          <w:rFonts w:ascii="Times New Roman" w:hAnsi="Times New Roman" w:cs="Times New Roman"/>
          <w:lang w:val="fr-FR"/>
        </w:rPr>
        <w:t xml:space="preserve">bénéficier indirectement de la </w:t>
      </w:r>
      <w:r w:rsidR="00510CE0" w:rsidRPr="008013F5">
        <w:rPr>
          <w:rFonts w:ascii="Times New Roman" w:hAnsi="Times New Roman" w:cs="Times New Roman"/>
          <w:lang w:val="fr-FR"/>
        </w:rPr>
        <w:t xml:space="preserve">mise en œuvre du projet. </w:t>
      </w:r>
      <w:r w:rsidR="007073A1" w:rsidRPr="008013F5">
        <w:rPr>
          <w:rFonts w:ascii="Times New Roman" w:hAnsi="Times New Roman" w:cs="Times New Roman"/>
          <w:lang w:val="fr-FR"/>
        </w:rPr>
        <w:t>Il s</w:t>
      </w:r>
      <w:r w:rsidR="000B6B5B" w:rsidRPr="008013F5">
        <w:rPr>
          <w:rFonts w:ascii="Times New Roman" w:hAnsi="Times New Roman" w:cs="Times New Roman"/>
          <w:lang w:val="fr-FR"/>
        </w:rPr>
        <w:t>'agit d'</w:t>
      </w:r>
      <w:r w:rsidR="00AB75BF" w:rsidRPr="008013F5">
        <w:rPr>
          <w:rFonts w:ascii="Times New Roman" w:hAnsi="Times New Roman" w:cs="Times New Roman"/>
          <w:lang w:val="fr-FR"/>
        </w:rPr>
        <w:t xml:space="preserve">organisations de </w:t>
      </w:r>
      <w:r w:rsidR="000B6B5B" w:rsidRPr="008013F5">
        <w:rPr>
          <w:rFonts w:ascii="Times New Roman" w:hAnsi="Times New Roman" w:cs="Times New Roman"/>
          <w:lang w:val="fr-FR"/>
        </w:rPr>
        <w:t>la société civile</w:t>
      </w:r>
      <w:r w:rsidR="007073A1" w:rsidRPr="008013F5">
        <w:rPr>
          <w:rFonts w:ascii="Times New Roman" w:hAnsi="Times New Roman" w:cs="Times New Roman"/>
          <w:lang w:val="fr-FR"/>
        </w:rPr>
        <w:t xml:space="preserve">, d'autorités traditionnelles </w:t>
      </w:r>
      <w:r w:rsidR="00AB75BF" w:rsidRPr="008013F5">
        <w:rPr>
          <w:rFonts w:ascii="Times New Roman" w:hAnsi="Times New Roman" w:cs="Times New Roman"/>
          <w:lang w:val="fr-FR"/>
        </w:rPr>
        <w:t xml:space="preserve">et de </w:t>
      </w:r>
      <w:r w:rsidR="00AA6B4E" w:rsidRPr="008013F5">
        <w:rPr>
          <w:rFonts w:ascii="Times New Roman" w:hAnsi="Times New Roman" w:cs="Times New Roman"/>
          <w:lang w:val="fr-FR"/>
        </w:rPr>
        <w:t>la population cible au sens large</w:t>
      </w:r>
      <w:r w:rsidR="007073A1" w:rsidRPr="008013F5">
        <w:rPr>
          <w:rFonts w:ascii="Times New Roman" w:hAnsi="Times New Roman" w:cs="Times New Roman"/>
          <w:lang w:val="fr-FR"/>
        </w:rPr>
        <w:t>.</w:t>
      </w:r>
    </w:p>
    <w:p w14:paraId="03C8AB24"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 xml:space="preserve">L'objectif global à long terme auquel l'intervention </w:t>
      </w:r>
      <w:r w:rsidR="00155A0E" w:rsidRPr="008013F5">
        <w:rPr>
          <w:rFonts w:ascii="Times New Roman" w:hAnsi="Times New Roman" w:cs="Times New Roman"/>
          <w:lang w:val="fr-FR"/>
        </w:rPr>
        <w:t xml:space="preserve">vise à </w:t>
      </w:r>
      <w:r w:rsidRPr="008013F5">
        <w:rPr>
          <w:rFonts w:ascii="Times New Roman" w:hAnsi="Times New Roman" w:cs="Times New Roman"/>
          <w:lang w:val="fr-FR"/>
        </w:rPr>
        <w:t xml:space="preserve">contribuer est de "prévenir et réduire l'extrémisme violent au Sahel par une approche de renforcement de la résilience". </w:t>
      </w:r>
    </w:p>
    <w:p w14:paraId="445A4976"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 xml:space="preserve">La théorie du changement sur laquelle s'appuie ce projet est la suivante : </w:t>
      </w:r>
    </w:p>
    <w:p w14:paraId="56C11559"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Si les jeunes hommes et femmes et d'autres groupes marginalisés participent de manière significative à un dialogue inclusif, si la confiance et les liens de collaboration entre les jeunes vulnérables, les forces de sécurité et de défense et les autorités civiles sont établis pour permettre la paix et la prospérité, et si les jeunes vulnérables sont soutenus par des initiatives de réhabilitation et de réinsertion sociale et économique, alors l'extrémisme violent qui affecte la sécurité des frontières sera ab</w:t>
      </w:r>
      <w:r w:rsidRPr="008013F5">
        <w:rPr>
          <w:rFonts w:ascii="Times New Roman" w:hAnsi="Times New Roman" w:cs="Times New Roman"/>
          <w:lang w:val="fr-FR"/>
        </w:rPr>
        <w:t>ordé et la résilience des jeunes à l'extrémisme violent sera renforcée dans le centre du Mali et le long des frontières avec le Burkina Faso, contribuant ainsi à la prévention et à la réduction de l'extrémisme violent au Sahel.</w:t>
      </w:r>
    </w:p>
    <w:p w14:paraId="485CDD3C" w14:textId="77777777" w:rsidR="00476FA4" w:rsidRPr="008013F5" w:rsidRDefault="00BF6F90">
      <w:pPr>
        <w:overflowPunct w:val="0"/>
        <w:autoSpaceDE w:val="0"/>
        <w:autoSpaceDN w:val="0"/>
        <w:adjustRightInd w:val="0"/>
        <w:spacing w:line="276" w:lineRule="auto"/>
        <w:ind w:right="28"/>
        <w:jc w:val="both"/>
        <w:textAlignment w:val="baseline"/>
        <w:rPr>
          <w:rFonts w:ascii="Times New Roman" w:hAnsi="Times New Roman" w:cs="Times New Roman"/>
          <w:lang w:val="fr-FR"/>
        </w:rPr>
      </w:pPr>
      <w:r w:rsidRPr="008013F5">
        <w:rPr>
          <w:rFonts w:ascii="Times New Roman" w:hAnsi="Times New Roman" w:cs="Times New Roman"/>
          <w:lang w:val="fr-FR"/>
        </w:rPr>
        <w:t xml:space="preserve">Ce projet est </w:t>
      </w:r>
      <w:r w:rsidR="002778AD" w:rsidRPr="008013F5">
        <w:rPr>
          <w:rFonts w:ascii="Times New Roman" w:hAnsi="Times New Roman" w:cs="Times New Roman"/>
          <w:lang w:val="fr-FR"/>
        </w:rPr>
        <w:t xml:space="preserve">basé sur l'expérience et les leçons tirées </w:t>
      </w:r>
      <w:r w:rsidRPr="008013F5">
        <w:rPr>
          <w:rFonts w:ascii="Times New Roman" w:hAnsi="Times New Roman" w:cs="Times New Roman"/>
          <w:lang w:val="fr-FR"/>
        </w:rPr>
        <w:t xml:space="preserve">du </w:t>
      </w:r>
      <w:r w:rsidR="002778AD" w:rsidRPr="008013F5">
        <w:rPr>
          <w:rFonts w:ascii="Times New Roman" w:hAnsi="Times New Roman" w:cs="Times New Roman"/>
          <w:lang w:val="fr-FR"/>
        </w:rPr>
        <w:t>travail d'</w:t>
      </w:r>
      <w:r w:rsidRPr="008013F5">
        <w:rPr>
          <w:rFonts w:ascii="Times New Roman" w:hAnsi="Times New Roman" w:cs="Times New Roman"/>
          <w:lang w:val="fr-FR"/>
        </w:rPr>
        <w:t xml:space="preserve">Alert au Mali </w:t>
      </w:r>
      <w:r w:rsidR="00474397" w:rsidRPr="008013F5">
        <w:rPr>
          <w:rFonts w:ascii="Times New Roman" w:hAnsi="Times New Roman" w:cs="Times New Roman"/>
          <w:lang w:val="fr-FR"/>
        </w:rPr>
        <w:t xml:space="preserve">sur le </w:t>
      </w:r>
      <w:r w:rsidRPr="008013F5">
        <w:rPr>
          <w:rFonts w:ascii="Times New Roman" w:hAnsi="Times New Roman" w:cs="Times New Roman"/>
          <w:lang w:val="fr-FR"/>
        </w:rPr>
        <w:t xml:space="preserve">renforcement de la gouvernance de la sécurité dans le Nord et le Centre du Mali </w:t>
      </w:r>
      <w:r w:rsidR="00474397" w:rsidRPr="008013F5">
        <w:rPr>
          <w:rFonts w:ascii="Times New Roman" w:hAnsi="Times New Roman" w:cs="Times New Roman"/>
          <w:lang w:val="fr-FR"/>
        </w:rPr>
        <w:t xml:space="preserve">depuis 2013, </w:t>
      </w:r>
      <w:r w:rsidRPr="008013F5">
        <w:rPr>
          <w:rFonts w:ascii="Times New Roman" w:hAnsi="Times New Roman" w:cs="Times New Roman"/>
          <w:lang w:val="fr-FR"/>
        </w:rPr>
        <w:t xml:space="preserve">ciblant principalement les régions de Mopti, Ségou, Bandiagara, Douentza, et Tombouctou, dans le but de prévenir et de contrer l'extrémisme violent. </w:t>
      </w:r>
    </w:p>
    <w:p w14:paraId="2DA021D6" w14:textId="2194C845" w:rsidR="00476FA4" w:rsidRPr="008013F5" w:rsidRDefault="00BF6F90">
      <w:pPr>
        <w:overflowPunct w:val="0"/>
        <w:autoSpaceDE w:val="0"/>
        <w:autoSpaceDN w:val="0"/>
        <w:adjustRightInd w:val="0"/>
        <w:spacing w:line="276" w:lineRule="auto"/>
        <w:ind w:right="28"/>
        <w:jc w:val="both"/>
        <w:textAlignment w:val="baseline"/>
        <w:rPr>
          <w:rFonts w:ascii="Times New Roman" w:hAnsi="Times New Roman" w:cs="Times New Roman"/>
          <w:lang w:val="fr-FR"/>
        </w:rPr>
      </w:pPr>
      <w:r w:rsidRPr="008013F5">
        <w:rPr>
          <w:rFonts w:ascii="Times New Roman" w:hAnsi="Times New Roman" w:cs="Times New Roman"/>
          <w:lang w:val="fr-FR"/>
        </w:rPr>
        <w:t xml:space="preserve">Dans le cadre de cette programmation de la gouvernance de la sécurité, </w:t>
      </w:r>
      <w:r w:rsidR="003E6111" w:rsidRPr="008013F5">
        <w:rPr>
          <w:rFonts w:ascii="Times New Roman" w:hAnsi="Times New Roman" w:cs="Times New Roman"/>
          <w:lang w:val="fr-FR"/>
        </w:rPr>
        <w:t>Alert s</w:t>
      </w:r>
      <w:r w:rsidRPr="008013F5">
        <w:rPr>
          <w:rFonts w:ascii="Times New Roman" w:hAnsi="Times New Roman" w:cs="Times New Roman"/>
          <w:lang w:val="fr-FR"/>
        </w:rPr>
        <w:t xml:space="preserve">'est concentrée sur l'amélioration de la confiance et de la collaboration entre les communautés locales et </w:t>
      </w:r>
      <w:r w:rsidR="007B1695">
        <w:rPr>
          <w:rFonts w:ascii="Times New Roman" w:hAnsi="Times New Roman" w:cs="Times New Roman"/>
          <w:lang w:val="fr-FR"/>
        </w:rPr>
        <w:t xml:space="preserve">les </w:t>
      </w:r>
      <w:r w:rsidR="00B43150" w:rsidRPr="008013F5">
        <w:rPr>
          <w:rFonts w:ascii="Times New Roman" w:hAnsi="Times New Roman" w:cs="Times New Roman"/>
          <w:lang w:val="fr-FR"/>
        </w:rPr>
        <w:t xml:space="preserve">Forces de </w:t>
      </w:r>
      <w:r w:rsidR="00B43150">
        <w:rPr>
          <w:rFonts w:ascii="Times New Roman" w:hAnsi="Times New Roman" w:cs="Times New Roman"/>
          <w:lang w:val="fr-FR"/>
        </w:rPr>
        <w:t xml:space="preserve">Défense et de </w:t>
      </w:r>
      <w:r w:rsidR="00B43150" w:rsidRPr="008013F5">
        <w:rPr>
          <w:rFonts w:ascii="Times New Roman" w:hAnsi="Times New Roman" w:cs="Times New Roman"/>
          <w:lang w:val="fr-FR"/>
        </w:rPr>
        <w:t>Sécurité (</w:t>
      </w:r>
      <w:r w:rsidR="00B43150">
        <w:rPr>
          <w:rFonts w:ascii="Times New Roman" w:hAnsi="Times New Roman" w:cs="Times New Roman"/>
          <w:lang w:val="fr-FR"/>
        </w:rPr>
        <w:t xml:space="preserve">FDS) </w:t>
      </w:r>
      <w:r w:rsidRPr="008013F5">
        <w:rPr>
          <w:rFonts w:ascii="Times New Roman" w:hAnsi="Times New Roman" w:cs="Times New Roman"/>
          <w:lang w:val="fr-FR"/>
        </w:rPr>
        <w:t>à travers le dialogue et le renforcement des capacités en matière de sensibilité aux conflits et au genre, et sur l'augmentation de la résilience des femmes et des jeunes maliens et de leurs communautés face à l'extrémisme violent. Plus spécifiquement, le programme soutient fortement la transformation des conflits intra et intercommunautaires, la préven</w:t>
      </w:r>
      <w:r w:rsidRPr="008013F5">
        <w:rPr>
          <w:rFonts w:ascii="Times New Roman" w:hAnsi="Times New Roman" w:cs="Times New Roman"/>
          <w:lang w:val="fr-FR"/>
        </w:rPr>
        <w:t xml:space="preserve">tion de l'extrémisme violent au niveau local à travers la mise en place et l'accompagnement de forums locaux promouvant le dialogue autour des principales sources de violence et des stratégies et actions d'atténuation de la violence. </w:t>
      </w:r>
    </w:p>
    <w:p w14:paraId="733EDCD1"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En tant que tel</w:t>
      </w:r>
      <w:r w:rsidR="00EE6CCA" w:rsidRPr="008013F5">
        <w:rPr>
          <w:rFonts w:ascii="Times New Roman" w:hAnsi="Times New Roman" w:cs="Times New Roman"/>
          <w:lang w:val="fr-FR"/>
        </w:rPr>
        <w:t xml:space="preserve">, le projet s'articule autour des trois principaux </w:t>
      </w:r>
      <w:r w:rsidR="00C23757" w:rsidRPr="008013F5">
        <w:rPr>
          <w:rFonts w:ascii="Times New Roman" w:hAnsi="Times New Roman" w:cs="Times New Roman"/>
          <w:lang w:val="fr-FR"/>
        </w:rPr>
        <w:t xml:space="preserve">domaines de </w:t>
      </w:r>
      <w:r w:rsidR="00EE6CCA" w:rsidRPr="008013F5">
        <w:rPr>
          <w:rFonts w:ascii="Times New Roman" w:hAnsi="Times New Roman" w:cs="Times New Roman"/>
          <w:lang w:val="fr-FR"/>
        </w:rPr>
        <w:t xml:space="preserve">résultats </w:t>
      </w:r>
      <w:r w:rsidR="00C23757" w:rsidRPr="008013F5">
        <w:rPr>
          <w:rFonts w:ascii="Times New Roman" w:hAnsi="Times New Roman" w:cs="Times New Roman"/>
          <w:lang w:val="fr-FR"/>
        </w:rPr>
        <w:t>suivants, dont deux ont été mis en œuvre (</w:t>
      </w:r>
      <w:r w:rsidR="003E16AC" w:rsidRPr="008013F5">
        <w:rPr>
          <w:rFonts w:ascii="Times New Roman" w:hAnsi="Times New Roman" w:cs="Times New Roman"/>
          <w:lang w:val="fr-FR"/>
        </w:rPr>
        <w:t xml:space="preserve">résultat </w:t>
      </w:r>
      <w:r w:rsidR="00C23757" w:rsidRPr="008013F5">
        <w:rPr>
          <w:rFonts w:ascii="Times New Roman" w:hAnsi="Times New Roman" w:cs="Times New Roman"/>
          <w:lang w:val="fr-FR"/>
        </w:rPr>
        <w:t xml:space="preserve">1 et </w:t>
      </w:r>
      <w:r w:rsidR="003E16AC" w:rsidRPr="008013F5">
        <w:rPr>
          <w:rFonts w:ascii="Times New Roman" w:hAnsi="Times New Roman" w:cs="Times New Roman"/>
          <w:lang w:val="fr-FR"/>
        </w:rPr>
        <w:t xml:space="preserve">résultat </w:t>
      </w:r>
      <w:r w:rsidR="00C23757" w:rsidRPr="008013F5">
        <w:rPr>
          <w:rFonts w:ascii="Times New Roman" w:hAnsi="Times New Roman" w:cs="Times New Roman"/>
          <w:lang w:val="fr-FR"/>
        </w:rPr>
        <w:t xml:space="preserve">2), tandis que le </w:t>
      </w:r>
      <w:r w:rsidR="003E16AC" w:rsidRPr="008013F5">
        <w:rPr>
          <w:rFonts w:ascii="Times New Roman" w:hAnsi="Times New Roman" w:cs="Times New Roman"/>
          <w:lang w:val="fr-FR"/>
        </w:rPr>
        <w:t xml:space="preserve">résultat </w:t>
      </w:r>
      <w:r w:rsidR="00C23757" w:rsidRPr="008013F5">
        <w:rPr>
          <w:rFonts w:ascii="Times New Roman" w:hAnsi="Times New Roman" w:cs="Times New Roman"/>
          <w:lang w:val="fr-FR"/>
        </w:rPr>
        <w:t xml:space="preserve">3 est toujours en attente de mise en œuvre à la mi-décembre 2024. </w:t>
      </w:r>
    </w:p>
    <w:p w14:paraId="4DAA221B" w14:textId="77777777" w:rsidR="00476FA4" w:rsidRPr="008013F5" w:rsidRDefault="00BF6F90">
      <w:pPr>
        <w:spacing w:line="276" w:lineRule="auto"/>
        <w:jc w:val="both"/>
        <w:rPr>
          <w:rFonts w:ascii="Times New Roman" w:hAnsi="Times New Roman" w:cs="Times New Roman"/>
          <w:u w:val="single"/>
          <w:lang w:val="fr-FR"/>
        </w:rPr>
      </w:pPr>
      <w:r w:rsidRPr="008013F5">
        <w:rPr>
          <w:rFonts w:ascii="Times New Roman" w:hAnsi="Times New Roman" w:cs="Times New Roman"/>
          <w:u w:val="single"/>
          <w:lang w:val="fr-FR"/>
        </w:rPr>
        <w:t xml:space="preserve">Résultat </w:t>
      </w:r>
      <w:r w:rsidR="00EE6CCA" w:rsidRPr="008013F5">
        <w:rPr>
          <w:rFonts w:ascii="Times New Roman" w:hAnsi="Times New Roman" w:cs="Times New Roman"/>
          <w:u w:val="single"/>
          <w:lang w:val="fr-FR"/>
        </w:rPr>
        <w:t>1 : La résilience des jeunes face à l'extrémisme violent est renforcée par la création d'espaces de dialogue inclusifs et participatifs et d'opportunités économiques.</w:t>
      </w:r>
    </w:p>
    <w:p w14:paraId="12EB3A1B" w14:textId="77777777" w:rsidR="00476FA4" w:rsidRPr="008013F5" w:rsidRDefault="00BF6F90">
      <w:pPr>
        <w:jc w:val="both"/>
        <w:rPr>
          <w:rFonts w:ascii="Times New Roman" w:hAnsi="Times New Roman" w:cs="Times New Roman"/>
          <w:iCs/>
          <w:szCs w:val="18"/>
          <w:lang w:val="fr-FR"/>
        </w:rPr>
      </w:pPr>
      <w:r w:rsidRPr="008013F5">
        <w:rPr>
          <w:rFonts w:ascii="Times New Roman" w:hAnsi="Times New Roman" w:cs="Times New Roman"/>
          <w:iCs/>
          <w:szCs w:val="18"/>
          <w:lang w:val="fr-FR"/>
        </w:rPr>
        <w:t xml:space="preserve">Dans le cadre de ce </w:t>
      </w:r>
      <w:r w:rsidR="003E16AC" w:rsidRPr="008013F5">
        <w:rPr>
          <w:rFonts w:ascii="Times New Roman" w:hAnsi="Times New Roman" w:cs="Times New Roman"/>
          <w:iCs/>
          <w:szCs w:val="18"/>
          <w:lang w:val="fr-FR"/>
        </w:rPr>
        <w:t>résultat</w:t>
      </w:r>
      <w:r w:rsidRPr="008013F5">
        <w:rPr>
          <w:rFonts w:ascii="Times New Roman" w:hAnsi="Times New Roman" w:cs="Times New Roman"/>
          <w:iCs/>
          <w:szCs w:val="18"/>
          <w:lang w:val="fr-FR"/>
        </w:rPr>
        <w:t xml:space="preserve">, Alert a mis en place et géré des forums de dialogue communautaire dirigés par des jeunes dans les zones frontalières au niveau communal (1.1) ; a formé les membres des forums de </w:t>
      </w:r>
      <w:r w:rsidRPr="008013F5">
        <w:rPr>
          <w:rFonts w:ascii="Times New Roman" w:hAnsi="Times New Roman" w:cs="Times New Roman"/>
          <w:iCs/>
          <w:szCs w:val="18"/>
          <w:lang w:val="fr-FR"/>
        </w:rPr>
        <w:lastRenderedPageBreak/>
        <w:t>dialogue à la sensibilité et à l'analyse des conflits et du genre (1.2) et a formé des jeunes (hommes et femmes) à la gestion et à la résolution des conflits (1.3) ainsi qu'au plaidoyer et au lobbying (1.4). Alert a sensibilisé les jeunes aux risques de l'extrémisme violent en diffusant des témoignages et en dialoguant ave</w:t>
      </w:r>
      <w:r w:rsidRPr="008013F5">
        <w:rPr>
          <w:rFonts w:ascii="Times New Roman" w:hAnsi="Times New Roman" w:cs="Times New Roman"/>
          <w:iCs/>
          <w:szCs w:val="18"/>
          <w:lang w:val="fr-FR"/>
        </w:rPr>
        <w:t>c des survivants de l'extrémisme violent (1.5). Ces activités visent à accroître la participation des jeunes à la prise de décision afin de réduire les griefs et de renforcer la résilience.</w:t>
      </w:r>
    </w:p>
    <w:p w14:paraId="6520DE8B" w14:textId="77777777" w:rsidR="00476FA4" w:rsidRPr="008013F5" w:rsidRDefault="00BF6F90">
      <w:pPr>
        <w:spacing w:line="276" w:lineRule="auto"/>
        <w:jc w:val="both"/>
        <w:rPr>
          <w:rFonts w:ascii="Times New Roman" w:hAnsi="Times New Roman" w:cs="Times New Roman"/>
          <w:u w:val="single"/>
          <w:lang w:val="fr-FR"/>
        </w:rPr>
      </w:pPr>
      <w:r w:rsidRPr="008013F5">
        <w:rPr>
          <w:rFonts w:ascii="Times New Roman" w:hAnsi="Times New Roman" w:cs="Times New Roman"/>
          <w:u w:val="single"/>
          <w:lang w:val="fr-FR"/>
        </w:rPr>
        <w:t xml:space="preserve">Résultat </w:t>
      </w:r>
      <w:r w:rsidR="00EE6CCA" w:rsidRPr="008013F5">
        <w:rPr>
          <w:rFonts w:ascii="Times New Roman" w:hAnsi="Times New Roman" w:cs="Times New Roman"/>
          <w:u w:val="single"/>
          <w:lang w:val="fr-FR"/>
        </w:rPr>
        <w:t>2 : La confiance et les liens de collaboration entre les jeunes vulnérables, les forces de sécurité et de défense et les autorités civiles sont renforcés pour favoriser la paix et la prospérité.</w:t>
      </w:r>
    </w:p>
    <w:p w14:paraId="3906784D" w14:textId="201190C0" w:rsidR="00476FA4" w:rsidRPr="008013F5" w:rsidRDefault="00BF6F90">
      <w:pPr>
        <w:jc w:val="both"/>
        <w:rPr>
          <w:rFonts w:ascii="Times New Roman" w:hAnsi="Times New Roman" w:cs="Times New Roman"/>
          <w:iCs/>
          <w:szCs w:val="18"/>
          <w:lang w:val="fr-FR"/>
        </w:rPr>
      </w:pPr>
      <w:r w:rsidRPr="008013F5">
        <w:rPr>
          <w:rFonts w:ascii="Times New Roman" w:hAnsi="Times New Roman" w:cs="Times New Roman"/>
          <w:iCs/>
          <w:szCs w:val="18"/>
          <w:lang w:val="fr-FR"/>
        </w:rPr>
        <w:t xml:space="preserve">Dans le cadre de ce </w:t>
      </w:r>
      <w:r w:rsidR="003E16AC" w:rsidRPr="008013F5">
        <w:rPr>
          <w:rFonts w:ascii="Times New Roman" w:hAnsi="Times New Roman" w:cs="Times New Roman"/>
          <w:iCs/>
          <w:szCs w:val="18"/>
          <w:lang w:val="fr-FR"/>
        </w:rPr>
        <w:t>résultat</w:t>
      </w:r>
      <w:r w:rsidRPr="008013F5">
        <w:rPr>
          <w:rFonts w:ascii="Times New Roman" w:hAnsi="Times New Roman" w:cs="Times New Roman"/>
          <w:iCs/>
          <w:szCs w:val="18"/>
          <w:lang w:val="fr-FR"/>
        </w:rPr>
        <w:t>, Alert soutient le développement et la mise en œuvre d'actions civilo-militaires conjointes visant à instaurer la confiance et à promouvoir la cohésion sociale (2.1), à former les chefs traditionnels des communautés, les agents du gouvernement local et les prestataires de services de sécurité au droit international humanitaire et au droit des conflits armés dans les zones frontalières (2.2), la formation des organisations communautaires et des conseils locaux de jeunes pour réduire la stigmatisatio</w:t>
      </w:r>
      <w:r w:rsidRPr="008013F5">
        <w:rPr>
          <w:rFonts w:ascii="Times New Roman" w:hAnsi="Times New Roman" w:cs="Times New Roman"/>
          <w:iCs/>
          <w:szCs w:val="18"/>
          <w:lang w:val="fr-FR"/>
        </w:rPr>
        <w:t xml:space="preserve">n liée à l'extrémisme violent au sein des communautés locales et promouvoir la coexistence pacifique dans les zones frontalières (2.3), et la sensibilisation à l'État de droit, aux politiques de lutte contre l'incivilité, la corruption et la drogue (2.4) dans le but d'instaurer la confiance et des liens de collaboration entre les jeunes vulnérables, </w:t>
      </w:r>
      <w:r w:rsidR="007B1695" w:rsidRPr="008013F5">
        <w:rPr>
          <w:rFonts w:ascii="Times New Roman" w:hAnsi="Times New Roman" w:cs="Times New Roman"/>
          <w:lang w:val="fr-FR"/>
        </w:rPr>
        <w:t xml:space="preserve">les </w:t>
      </w:r>
      <w:r w:rsidR="007B1695">
        <w:rPr>
          <w:rFonts w:ascii="Times New Roman" w:hAnsi="Times New Roman" w:cs="Times New Roman"/>
          <w:lang w:val="fr-FR"/>
        </w:rPr>
        <w:t xml:space="preserve">FDS </w:t>
      </w:r>
      <w:r w:rsidRPr="008013F5">
        <w:rPr>
          <w:rFonts w:ascii="Times New Roman" w:hAnsi="Times New Roman" w:cs="Times New Roman"/>
          <w:iCs/>
          <w:szCs w:val="18"/>
          <w:lang w:val="fr-FR"/>
        </w:rPr>
        <w:t>et les autorités civiles afin de favoriser la paix.</w:t>
      </w:r>
    </w:p>
    <w:p w14:paraId="4841FAD6" w14:textId="77777777" w:rsidR="00476FA4" w:rsidRPr="008013F5" w:rsidRDefault="00BF6F90">
      <w:pPr>
        <w:spacing w:line="276" w:lineRule="auto"/>
        <w:jc w:val="both"/>
        <w:rPr>
          <w:rFonts w:ascii="Times New Roman" w:hAnsi="Times New Roman" w:cs="Times New Roman"/>
          <w:u w:val="single"/>
          <w:lang w:val="fr-FR"/>
        </w:rPr>
      </w:pPr>
      <w:r w:rsidRPr="008013F5">
        <w:rPr>
          <w:rFonts w:ascii="Times New Roman" w:hAnsi="Times New Roman" w:cs="Times New Roman"/>
          <w:u w:val="single"/>
          <w:lang w:val="fr-FR"/>
        </w:rPr>
        <w:t xml:space="preserve">Résultat </w:t>
      </w:r>
      <w:r w:rsidR="00EE6CCA" w:rsidRPr="008013F5">
        <w:rPr>
          <w:rFonts w:ascii="Times New Roman" w:hAnsi="Times New Roman" w:cs="Times New Roman"/>
          <w:u w:val="single"/>
          <w:lang w:val="fr-FR"/>
        </w:rPr>
        <w:t>3 : Les jeunes vulnérables bénéficient d'initiatives de réhabilitation et de réinsertion sociale et économique.</w:t>
      </w:r>
    </w:p>
    <w:p w14:paraId="2640CDEB" w14:textId="77777777" w:rsidR="00476FA4" w:rsidRPr="008013F5" w:rsidRDefault="00BF6F90">
      <w:pPr>
        <w:overflowPunct w:val="0"/>
        <w:autoSpaceDE w:val="0"/>
        <w:autoSpaceDN w:val="0"/>
        <w:adjustRightInd w:val="0"/>
        <w:spacing w:line="276" w:lineRule="auto"/>
        <w:ind w:right="28"/>
        <w:jc w:val="both"/>
        <w:textAlignment w:val="baseline"/>
        <w:rPr>
          <w:rFonts w:ascii="Times New Roman" w:hAnsi="Times New Roman" w:cs="Times New Roman"/>
          <w:lang w:val="fr-FR"/>
        </w:rPr>
      </w:pPr>
      <w:r w:rsidRPr="008013F5">
        <w:rPr>
          <w:rFonts w:ascii="Times New Roman" w:hAnsi="Times New Roman" w:cs="Times New Roman"/>
          <w:iCs/>
          <w:szCs w:val="18"/>
          <w:lang w:val="fr-FR"/>
        </w:rPr>
        <w:t xml:space="preserve">Dans le cadre du </w:t>
      </w:r>
      <w:r w:rsidR="003E16AC" w:rsidRPr="008013F5">
        <w:rPr>
          <w:rFonts w:ascii="Times New Roman" w:hAnsi="Times New Roman" w:cs="Times New Roman"/>
          <w:iCs/>
          <w:szCs w:val="18"/>
          <w:lang w:val="fr-FR"/>
        </w:rPr>
        <w:t xml:space="preserve">résultat </w:t>
      </w:r>
      <w:r w:rsidRPr="008013F5">
        <w:rPr>
          <w:rFonts w:ascii="Times New Roman" w:hAnsi="Times New Roman" w:cs="Times New Roman"/>
          <w:iCs/>
          <w:szCs w:val="18"/>
          <w:lang w:val="fr-FR"/>
        </w:rPr>
        <w:t>3, Alert</w:t>
      </w:r>
      <w:r w:rsidRPr="008013F5">
        <w:rPr>
          <w:rFonts w:ascii="Times New Roman" w:hAnsi="Times New Roman" w:cs="Times New Roman"/>
          <w:iCs/>
          <w:szCs w:val="18"/>
          <w:lang w:val="fr-FR"/>
        </w:rPr>
        <w:t xml:space="preserve"> réhabilitera des centres d'apprentissage pour les jeunes au niveau communal afin de promouvoir l'échange mutuel entre les jeunes (3.1), soutiendra des activités génératrices de revenus, y compris la formation professionnelle, l'alphabétisation de base et la formation par les pairs, pour les jeunes à risque identifiés afin de faciliter la réintégration économique des jeunes vulnérables (3.2 et 3.3), soutenir le développement et la mise en œuvre de microprojets PVE menés par des jeunes au niveau communal (3.</w:t>
      </w:r>
      <w:r w:rsidRPr="008013F5">
        <w:rPr>
          <w:rFonts w:ascii="Times New Roman" w:hAnsi="Times New Roman" w:cs="Times New Roman"/>
          <w:iCs/>
          <w:szCs w:val="18"/>
          <w:lang w:val="fr-FR"/>
        </w:rPr>
        <w:t>4), et former les ONG locales, le secteur privé, les autorités, les forces de sécurité et les communautés à réduire et à combattre la stigmatisation (3.5) dans le but de soutenir les jeunes vulnérables par des initiatives de réadaptation et de réinsertion sociale et économique.</w:t>
      </w:r>
    </w:p>
    <w:p w14:paraId="419A4568" w14:textId="77777777" w:rsidR="00516DA9" w:rsidRPr="008013F5" w:rsidRDefault="00516DA9" w:rsidP="00516DA9">
      <w:pPr>
        <w:overflowPunct w:val="0"/>
        <w:autoSpaceDE w:val="0"/>
        <w:autoSpaceDN w:val="0"/>
        <w:adjustRightInd w:val="0"/>
        <w:spacing w:line="276" w:lineRule="auto"/>
        <w:ind w:right="28"/>
        <w:jc w:val="both"/>
        <w:textAlignment w:val="baseline"/>
        <w:rPr>
          <w:rFonts w:ascii="Times New Roman" w:hAnsi="Times New Roman" w:cs="Times New Roman"/>
          <w:sz w:val="19"/>
          <w:szCs w:val="19"/>
          <w:lang w:val="fr-FR"/>
        </w:rPr>
      </w:pPr>
    </w:p>
    <w:p w14:paraId="1F28729C" w14:textId="77777777" w:rsidR="00476FA4" w:rsidRDefault="00BF6F90">
      <w:pPr>
        <w:pStyle w:val="Heading2"/>
        <w:numPr>
          <w:ilvl w:val="0"/>
          <w:numId w:val="10"/>
        </w:numPr>
        <w:rPr>
          <w:rFonts w:ascii="Times New Roman" w:hAnsi="Times New Roman" w:cs="Times New Roman"/>
          <w:b/>
          <w:bCs/>
          <w:sz w:val="25"/>
          <w:szCs w:val="25"/>
          <w:lang w:val="en-US"/>
        </w:rPr>
      </w:pPr>
      <w:bookmarkStart w:id="3" w:name="_Toc177562443"/>
      <w:bookmarkStart w:id="4" w:name="_Toc177562535"/>
      <w:bookmarkStart w:id="5" w:name="_Toc183474624"/>
      <w:bookmarkEnd w:id="3"/>
      <w:bookmarkEnd w:id="4"/>
      <w:bookmarkEnd w:id="5"/>
      <w:proofErr w:type="spellStart"/>
      <w:r w:rsidRPr="00C24F16">
        <w:rPr>
          <w:rFonts w:ascii="Times New Roman" w:hAnsi="Times New Roman" w:cs="Times New Roman"/>
          <w:b/>
          <w:bCs/>
          <w:sz w:val="25"/>
          <w:szCs w:val="25"/>
          <w:lang w:val="en-US"/>
        </w:rPr>
        <w:t>Finalité</w:t>
      </w:r>
      <w:proofErr w:type="spellEnd"/>
      <w:r w:rsidRPr="00C24F16">
        <w:rPr>
          <w:rFonts w:ascii="Times New Roman" w:hAnsi="Times New Roman" w:cs="Times New Roman"/>
          <w:b/>
          <w:bCs/>
          <w:sz w:val="25"/>
          <w:szCs w:val="25"/>
          <w:lang w:val="en-US"/>
        </w:rPr>
        <w:t xml:space="preserve"> et </w:t>
      </w:r>
      <w:proofErr w:type="spellStart"/>
      <w:r w:rsidRPr="00C24F16">
        <w:rPr>
          <w:rFonts w:ascii="Times New Roman" w:hAnsi="Times New Roman" w:cs="Times New Roman"/>
          <w:b/>
          <w:bCs/>
          <w:sz w:val="25"/>
          <w:szCs w:val="25"/>
          <w:lang w:val="en-US"/>
        </w:rPr>
        <w:t>objectifs</w:t>
      </w:r>
      <w:proofErr w:type="spellEnd"/>
      <w:r w:rsidRPr="00C24F16">
        <w:rPr>
          <w:rFonts w:ascii="Times New Roman" w:hAnsi="Times New Roman" w:cs="Times New Roman"/>
          <w:b/>
          <w:bCs/>
          <w:sz w:val="25"/>
          <w:szCs w:val="25"/>
          <w:lang w:val="en-US"/>
        </w:rPr>
        <w:t xml:space="preserve"> </w:t>
      </w:r>
    </w:p>
    <w:p w14:paraId="6DC19406" w14:textId="77777777" w:rsidR="00476FA4" w:rsidRPr="008013F5" w:rsidRDefault="00BF6F90">
      <w:pPr>
        <w:jc w:val="both"/>
        <w:rPr>
          <w:rFonts w:ascii="Times New Roman" w:eastAsia="Times New Roman" w:hAnsi="Times New Roman" w:cs="Times New Roman"/>
          <w:b/>
          <w:bCs/>
          <w:lang w:val="fr-FR" w:eastAsia="de-DE"/>
        </w:rPr>
      </w:pPr>
      <w:r w:rsidRPr="008013F5">
        <w:rPr>
          <w:rFonts w:ascii="Times New Roman" w:eastAsia="Times New Roman" w:hAnsi="Times New Roman" w:cs="Times New Roman"/>
          <w:lang w:val="fr-FR" w:eastAsia="de-DE"/>
        </w:rPr>
        <w:t xml:space="preserve">Le projet étant un projet pilote, </w:t>
      </w:r>
      <w:r w:rsidR="003357A7" w:rsidRPr="008013F5">
        <w:rPr>
          <w:rFonts w:ascii="Times New Roman" w:eastAsia="Times New Roman" w:hAnsi="Times New Roman" w:cs="Times New Roman"/>
          <w:lang w:val="fr-FR" w:eastAsia="de-DE"/>
        </w:rPr>
        <w:t>l'Agence autrichienne de développement (</w:t>
      </w:r>
      <w:r w:rsidR="001A0677" w:rsidRPr="008013F5">
        <w:rPr>
          <w:rFonts w:ascii="Times New Roman" w:eastAsia="Times New Roman" w:hAnsi="Times New Roman" w:cs="Times New Roman"/>
          <w:lang w:val="fr-FR" w:eastAsia="de-DE"/>
        </w:rPr>
        <w:t>ADA</w:t>
      </w:r>
      <w:r w:rsidR="003357A7" w:rsidRPr="008013F5">
        <w:rPr>
          <w:rFonts w:ascii="Times New Roman" w:eastAsia="Times New Roman" w:hAnsi="Times New Roman" w:cs="Times New Roman"/>
          <w:lang w:val="fr-FR" w:eastAsia="de-DE"/>
        </w:rPr>
        <w:t xml:space="preserve">) </w:t>
      </w:r>
      <w:r w:rsidR="001A0677" w:rsidRPr="008013F5">
        <w:rPr>
          <w:rFonts w:ascii="Times New Roman" w:eastAsia="Times New Roman" w:hAnsi="Times New Roman" w:cs="Times New Roman"/>
          <w:lang w:val="fr-FR" w:eastAsia="de-DE"/>
        </w:rPr>
        <w:t xml:space="preserve">et International Alert </w:t>
      </w:r>
      <w:r w:rsidR="003357A7" w:rsidRPr="008013F5">
        <w:rPr>
          <w:rFonts w:ascii="Times New Roman" w:eastAsia="Times New Roman" w:hAnsi="Times New Roman" w:cs="Times New Roman"/>
          <w:lang w:val="fr-FR" w:eastAsia="de-DE"/>
        </w:rPr>
        <w:t xml:space="preserve">(Alert) </w:t>
      </w:r>
      <w:r w:rsidR="001A0677" w:rsidRPr="008013F5">
        <w:rPr>
          <w:rFonts w:ascii="Times New Roman" w:eastAsia="Times New Roman" w:hAnsi="Times New Roman" w:cs="Times New Roman"/>
          <w:lang w:val="fr-FR" w:eastAsia="de-DE"/>
        </w:rPr>
        <w:t xml:space="preserve">commandent une évaluation à mi-parcours </w:t>
      </w:r>
      <w:r w:rsidR="00516DA9" w:rsidRPr="008013F5">
        <w:rPr>
          <w:rFonts w:ascii="Times New Roman" w:eastAsia="Times New Roman" w:hAnsi="Times New Roman" w:cs="Times New Roman"/>
          <w:lang w:val="fr-FR" w:eastAsia="de-DE"/>
        </w:rPr>
        <w:t xml:space="preserve">afin de </w:t>
      </w:r>
      <w:r w:rsidR="00516DA9" w:rsidRPr="008013F5">
        <w:rPr>
          <w:rFonts w:ascii="Times New Roman" w:eastAsia="Times New Roman" w:hAnsi="Times New Roman" w:cs="Times New Roman"/>
          <w:b/>
          <w:bCs/>
          <w:lang w:val="fr-FR" w:eastAsia="de-DE"/>
        </w:rPr>
        <w:t xml:space="preserve">tirer des enseignements fondés sur des données probantes pour améliorer la </w:t>
      </w:r>
      <w:r w:rsidR="0051290D" w:rsidRPr="008013F5">
        <w:rPr>
          <w:rFonts w:ascii="Times New Roman" w:eastAsia="Times New Roman" w:hAnsi="Times New Roman" w:cs="Times New Roman"/>
          <w:b/>
          <w:bCs/>
          <w:lang w:val="fr-FR" w:eastAsia="de-DE"/>
        </w:rPr>
        <w:t>programmation, la mise en œuvre et le suivi du projet visant à impliquer les jeunes vulnérables dans la lutte contre l'extrémisme violent dans les régions de Sikasso, Ségou et Mopti</w:t>
      </w:r>
      <w:r w:rsidR="001461D6" w:rsidRPr="008013F5">
        <w:rPr>
          <w:rFonts w:ascii="Times New Roman" w:eastAsia="Times New Roman" w:hAnsi="Times New Roman" w:cs="Times New Roman"/>
          <w:b/>
          <w:bCs/>
          <w:lang w:val="fr-FR" w:eastAsia="de-DE"/>
        </w:rPr>
        <w:t xml:space="preserve">, </w:t>
      </w:r>
      <w:r w:rsidR="008B6446" w:rsidRPr="008013F5">
        <w:rPr>
          <w:rFonts w:ascii="Times New Roman" w:eastAsia="Times New Roman" w:hAnsi="Times New Roman" w:cs="Times New Roman"/>
          <w:b/>
          <w:bCs/>
          <w:lang w:val="fr-FR" w:eastAsia="de-DE"/>
        </w:rPr>
        <w:t>y compris dans les zones frontalières avec le Burkina Faso</w:t>
      </w:r>
      <w:r w:rsidR="0051290D" w:rsidRPr="008013F5">
        <w:rPr>
          <w:rFonts w:ascii="Times New Roman" w:eastAsia="Times New Roman" w:hAnsi="Times New Roman" w:cs="Times New Roman"/>
          <w:b/>
          <w:bCs/>
          <w:lang w:val="fr-FR" w:eastAsia="de-DE"/>
        </w:rPr>
        <w:t xml:space="preserve">. </w:t>
      </w:r>
    </w:p>
    <w:p w14:paraId="3658A3B7" w14:textId="4A7F0BFA" w:rsidR="00476FA4" w:rsidRPr="008013F5" w:rsidRDefault="00BF6F90">
      <w:pPr>
        <w:jc w:val="both"/>
        <w:rPr>
          <w:rFonts w:ascii="Times New Roman" w:eastAsia="Times New Roman" w:hAnsi="Times New Roman" w:cs="Times New Roman"/>
          <w:lang w:val="fr-FR" w:eastAsia="de-DE"/>
        </w:rPr>
      </w:pPr>
      <w:r w:rsidRPr="008013F5">
        <w:rPr>
          <w:rFonts w:ascii="Times New Roman" w:hAnsi="Times New Roman" w:cs="Times New Roman"/>
          <w:lang w:val="fr-FR"/>
        </w:rPr>
        <w:t xml:space="preserve">Le rapport d'évaluation sera partagé avec ADA et utilisé par </w:t>
      </w:r>
      <w:r w:rsidR="003E6111" w:rsidRPr="008013F5">
        <w:rPr>
          <w:rFonts w:ascii="Times New Roman" w:hAnsi="Times New Roman" w:cs="Times New Roman"/>
          <w:lang w:val="fr-FR"/>
        </w:rPr>
        <w:t xml:space="preserve">Alert </w:t>
      </w:r>
      <w:r w:rsidRPr="008013F5">
        <w:rPr>
          <w:rFonts w:ascii="Times New Roman" w:hAnsi="Times New Roman" w:cs="Times New Roman"/>
          <w:lang w:val="fr-FR"/>
        </w:rPr>
        <w:t>et les équipes d'</w:t>
      </w:r>
      <w:r w:rsidR="00D260C2" w:rsidRPr="008013F5">
        <w:rPr>
          <w:rFonts w:ascii="Times New Roman" w:hAnsi="Times New Roman" w:cs="Times New Roman"/>
          <w:lang w:val="fr-FR"/>
        </w:rPr>
        <w:t xml:space="preserve">Action pour la </w:t>
      </w:r>
      <w:r w:rsidR="003357A7" w:rsidRPr="008013F5">
        <w:rPr>
          <w:rFonts w:ascii="Times New Roman" w:hAnsi="Times New Roman" w:cs="Times New Roman"/>
          <w:lang w:val="fr-FR"/>
        </w:rPr>
        <w:t>Formation et l'Autopromotion Rurale (</w:t>
      </w:r>
      <w:r w:rsidRPr="008013F5">
        <w:rPr>
          <w:rFonts w:ascii="Times New Roman" w:hAnsi="Times New Roman" w:cs="Times New Roman"/>
          <w:lang w:val="fr-FR"/>
        </w:rPr>
        <w:t xml:space="preserve">AFAR) pour améliorer le </w:t>
      </w:r>
      <w:r w:rsidR="00C83EF0" w:rsidRPr="008013F5">
        <w:rPr>
          <w:rFonts w:ascii="Times New Roman" w:hAnsi="Times New Roman" w:cs="Times New Roman"/>
          <w:lang w:val="fr-FR"/>
        </w:rPr>
        <w:t>travail futur ainsi que le projet actuel, dans la mesure du possible</w:t>
      </w:r>
      <w:r w:rsidRPr="008013F5">
        <w:rPr>
          <w:rFonts w:ascii="Times New Roman" w:hAnsi="Times New Roman" w:cs="Times New Roman"/>
          <w:lang w:val="fr-FR"/>
        </w:rPr>
        <w:t>. Au-delà du projet actuel, des applications plus larges des leçons apprises seront discutées à travers le secteur.</w:t>
      </w:r>
      <w:bookmarkStart w:id="6" w:name="_Toc177562444"/>
      <w:bookmarkStart w:id="7" w:name="_Toc177562536"/>
    </w:p>
    <w:p w14:paraId="018D6ECA" w14:textId="4BC9D649" w:rsidR="00476FA4" w:rsidRPr="008013F5" w:rsidRDefault="00BF6F90">
      <w:pPr>
        <w:jc w:val="both"/>
        <w:rPr>
          <w:rFonts w:ascii="Times New Roman" w:eastAsia="Times New Roman" w:hAnsi="Times New Roman" w:cs="Times New Roman"/>
          <w:lang w:val="fr-FR" w:eastAsia="de-DE"/>
        </w:rPr>
      </w:pPr>
      <w:r w:rsidRPr="008013F5">
        <w:rPr>
          <w:rFonts w:ascii="Times New Roman" w:eastAsia="Times New Roman" w:hAnsi="Times New Roman" w:cs="Times New Roman"/>
          <w:lang w:val="fr-FR" w:eastAsia="de-DE"/>
        </w:rPr>
        <w:t>Les objectifs spécifiques de cette évaluation sont les suivants</w:t>
      </w:r>
      <w:r w:rsidR="0050619B">
        <w:rPr>
          <w:rFonts w:ascii="Times New Roman" w:eastAsia="Times New Roman" w:hAnsi="Times New Roman" w:cs="Times New Roman"/>
          <w:lang w:val="fr-FR" w:eastAsia="de-DE"/>
        </w:rPr>
        <w:t> :</w:t>
      </w:r>
    </w:p>
    <w:p w14:paraId="29DFDD8D" w14:textId="77777777" w:rsidR="00476FA4" w:rsidRPr="008013F5" w:rsidRDefault="00BF6F90">
      <w:pPr>
        <w:pStyle w:val="ListParagraph"/>
        <w:numPr>
          <w:ilvl w:val="0"/>
          <w:numId w:val="4"/>
        </w:numPr>
        <w:jc w:val="both"/>
        <w:rPr>
          <w:rFonts w:ascii="Times New Roman" w:eastAsia="Times New Roman" w:hAnsi="Times New Roman" w:cs="Times New Roman"/>
          <w:lang w:val="fr-FR" w:eastAsia="de-DE"/>
        </w:rPr>
      </w:pPr>
      <w:r w:rsidRPr="008013F5">
        <w:rPr>
          <w:rFonts w:ascii="Times New Roman" w:eastAsia="Times New Roman" w:hAnsi="Times New Roman" w:cs="Times New Roman"/>
          <w:lang w:val="fr-FR" w:eastAsia="de-DE"/>
        </w:rPr>
        <w:t xml:space="preserve">Déterminer </w:t>
      </w:r>
      <w:r w:rsidRPr="008013F5">
        <w:rPr>
          <w:rFonts w:ascii="Times New Roman" w:eastAsia="Times New Roman" w:hAnsi="Times New Roman" w:cs="Times New Roman"/>
          <w:b/>
          <w:bCs/>
          <w:lang w:val="fr-FR" w:eastAsia="de-DE"/>
        </w:rPr>
        <w:t xml:space="preserve">dans quelle mesure le projet renforce la confiance et la collaboration </w:t>
      </w:r>
      <w:r w:rsidRPr="008013F5">
        <w:rPr>
          <w:rFonts w:ascii="Times New Roman" w:eastAsia="Times New Roman" w:hAnsi="Times New Roman" w:cs="Times New Roman"/>
          <w:lang w:val="fr-FR" w:eastAsia="de-DE"/>
        </w:rPr>
        <w:t>entre les jeunes vulnérables, les forces de défense et de sécurité et les autorités civiles dans la lutte contre l'extrémisme violent.</w:t>
      </w:r>
    </w:p>
    <w:p w14:paraId="0C433D79" w14:textId="77777777" w:rsidR="00476FA4" w:rsidRPr="008013F5" w:rsidRDefault="00BF6F90">
      <w:pPr>
        <w:pStyle w:val="ListParagraph"/>
        <w:numPr>
          <w:ilvl w:val="0"/>
          <w:numId w:val="4"/>
        </w:numPr>
        <w:jc w:val="both"/>
        <w:rPr>
          <w:rFonts w:ascii="Times New Roman" w:eastAsia="Times New Roman" w:hAnsi="Times New Roman" w:cs="Times New Roman"/>
          <w:lang w:val="fr-FR" w:eastAsia="de-DE"/>
        </w:rPr>
      </w:pPr>
      <w:r w:rsidRPr="008013F5">
        <w:rPr>
          <w:rFonts w:ascii="Times New Roman" w:eastAsia="Times New Roman" w:hAnsi="Times New Roman" w:cs="Times New Roman"/>
          <w:lang w:val="fr-FR" w:eastAsia="de-DE"/>
        </w:rPr>
        <w:t xml:space="preserve">Évaluer </w:t>
      </w:r>
      <w:r w:rsidRPr="008013F5">
        <w:rPr>
          <w:rFonts w:ascii="Times New Roman" w:eastAsia="Times New Roman" w:hAnsi="Times New Roman" w:cs="Times New Roman"/>
          <w:b/>
          <w:bCs/>
          <w:lang w:val="fr-FR" w:eastAsia="de-DE"/>
        </w:rPr>
        <w:t xml:space="preserve">comment les méthodes </w:t>
      </w:r>
      <w:r w:rsidR="00F32419" w:rsidRPr="008013F5">
        <w:rPr>
          <w:rFonts w:ascii="Times New Roman" w:eastAsia="Times New Roman" w:hAnsi="Times New Roman" w:cs="Times New Roman"/>
          <w:b/>
          <w:bCs/>
          <w:lang w:val="fr-FR" w:eastAsia="de-DE"/>
        </w:rPr>
        <w:t xml:space="preserve">et </w:t>
      </w:r>
      <w:r w:rsidRPr="008013F5">
        <w:rPr>
          <w:rFonts w:ascii="Times New Roman" w:eastAsia="Times New Roman" w:hAnsi="Times New Roman" w:cs="Times New Roman"/>
          <w:b/>
          <w:bCs/>
          <w:lang w:val="fr-FR" w:eastAsia="de-DE"/>
        </w:rPr>
        <w:t>approches d'</w:t>
      </w:r>
      <w:r w:rsidR="00F32419" w:rsidRPr="008013F5">
        <w:rPr>
          <w:rFonts w:ascii="Times New Roman" w:eastAsia="Times New Roman" w:hAnsi="Times New Roman" w:cs="Times New Roman"/>
          <w:b/>
          <w:bCs/>
          <w:lang w:val="fr-FR" w:eastAsia="de-DE"/>
        </w:rPr>
        <w:t xml:space="preserve">inclusion </w:t>
      </w:r>
      <w:r w:rsidRPr="008013F5">
        <w:rPr>
          <w:rFonts w:ascii="Times New Roman" w:eastAsia="Times New Roman" w:hAnsi="Times New Roman" w:cs="Times New Roman"/>
          <w:lang w:val="fr-FR" w:eastAsia="de-DE"/>
        </w:rPr>
        <w:t>utilisées dans le projet renforcent la résilience de la communauté face à l'extrémisme violent</w:t>
      </w:r>
      <w:r w:rsidR="00D225A0" w:rsidRPr="008013F5">
        <w:rPr>
          <w:rFonts w:ascii="Times New Roman" w:eastAsia="Times New Roman" w:hAnsi="Times New Roman" w:cs="Times New Roman"/>
          <w:lang w:val="fr-FR" w:eastAsia="de-DE"/>
        </w:rPr>
        <w:t xml:space="preserve">, en </w:t>
      </w:r>
      <w:r w:rsidR="00F32419" w:rsidRPr="008013F5">
        <w:rPr>
          <w:rFonts w:ascii="Times New Roman" w:eastAsia="Times New Roman" w:hAnsi="Times New Roman" w:cs="Times New Roman"/>
          <w:lang w:val="fr-FR" w:eastAsia="de-DE"/>
        </w:rPr>
        <w:t xml:space="preserve">particulier </w:t>
      </w:r>
      <w:r w:rsidR="00D225A0" w:rsidRPr="008013F5">
        <w:rPr>
          <w:rFonts w:ascii="Times New Roman" w:eastAsia="Times New Roman" w:hAnsi="Times New Roman" w:cs="Times New Roman"/>
          <w:lang w:val="fr-FR" w:eastAsia="de-DE"/>
        </w:rPr>
        <w:t xml:space="preserve">en ce </w:t>
      </w:r>
      <w:r w:rsidR="00F32419" w:rsidRPr="008013F5">
        <w:rPr>
          <w:rFonts w:ascii="Times New Roman" w:eastAsia="Times New Roman" w:hAnsi="Times New Roman" w:cs="Times New Roman"/>
          <w:lang w:val="fr-FR" w:eastAsia="de-DE"/>
        </w:rPr>
        <w:t xml:space="preserve">qui concerne les </w:t>
      </w:r>
      <w:r w:rsidR="00D225A0" w:rsidRPr="008013F5">
        <w:rPr>
          <w:rFonts w:ascii="Times New Roman" w:eastAsia="Times New Roman" w:hAnsi="Times New Roman" w:cs="Times New Roman"/>
          <w:lang w:val="fr-FR" w:eastAsia="de-DE"/>
        </w:rPr>
        <w:t>jeunes hommes et femmes et les jeunes marginalisés</w:t>
      </w:r>
      <w:r w:rsidRPr="008013F5">
        <w:rPr>
          <w:rFonts w:ascii="Times New Roman" w:eastAsia="Times New Roman" w:hAnsi="Times New Roman" w:cs="Times New Roman"/>
          <w:b/>
          <w:bCs/>
          <w:lang w:val="fr-FR" w:eastAsia="de-DE"/>
        </w:rPr>
        <w:t xml:space="preserve">. </w:t>
      </w:r>
    </w:p>
    <w:p w14:paraId="0A9A025F" w14:textId="77777777" w:rsidR="00476FA4" w:rsidRPr="008013F5" w:rsidRDefault="00BF6F90">
      <w:pPr>
        <w:pStyle w:val="ListParagraph"/>
        <w:numPr>
          <w:ilvl w:val="0"/>
          <w:numId w:val="4"/>
        </w:numPr>
        <w:jc w:val="both"/>
        <w:rPr>
          <w:rFonts w:ascii="Times New Roman" w:eastAsia="Times New Roman" w:hAnsi="Times New Roman" w:cs="Times New Roman"/>
          <w:lang w:val="fr-FR" w:eastAsia="de-DE"/>
        </w:rPr>
      </w:pPr>
      <w:r w:rsidRPr="008013F5">
        <w:rPr>
          <w:rFonts w:ascii="Times New Roman" w:eastAsia="Times New Roman" w:hAnsi="Times New Roman" w:cs="Times New Roman"/>
          <w:lang w:val="fr-FR" w:eastAsia="de-DE"/>
        </w:rPr>
        <w:lastRenderedPageBreak/>
        <w:t xml:space="preserve">Évaluer la </w:t>
      </w:r>
      <w:r w:rsidRPr="008013F5">
        <w:rPr>
          <w:rFonts w:ascii="Times New Roman" w:eastAsia="Times New Roman" w:hAnsi="Times New Roman" w:cs="Times New Roman"/>
          <w:b/>
          <w:bCs/>
          <w:lang w:val="fr-FR" w:eastAsia="de-DE"/>
        </w:rPr>
        <w:t xml:space="preserve">pertinence, la cohérence et l'efficacité </w:t>
      </w:r>
      <w:r w:rsidR="00C23757" w:rsidRPr="008013F5">
        <w:rPr>
          <w:rFonts w:ascii="Times New Roman" w:eastAsia="Times New Roman" w:hAnsi="Times New Roman" w:cs="Times New Roman"/>
          <w:lang w:val="fr-FR" w:eastAsia="de-DE"/>
        </w:rPr>
        <w:t xml:space="preserve">du projet </w:t>
      </w:r>
      <w:r w:rsidR="00F32419" w:rsidRPr="008013F5">
        <w:rPr>
          <w:rFonts w:ascii="Times New Roman" w:eastAsia="Times New Roman" w:hAnsi="Times New Roman" w:cs="Times New Roman"/>
          <w:lang w:val="fr-FR" w:eastAsia="de-DE"/>
        </w:rPr>
        <w:t xml:space="preserve">en ce qui concerne la </w:t>
      </w:r>
      <w:r w:rsidRPr="008013F5">
        <w:rPr>
          <w:rFonts w:ascii="Times New Roman" w:eastAsia="Times New Roman" w:hAnsi="Times New Roman" w:cs="Times New Roman"/>
          <w:lang w:val="fr-FR" w:eastAsia="de-DE"/>
        </w:rPr>
        <w:t>promotion de l'engagement des jeunes vulnérables dans la lutte contre l'extrémisme violent.</w:t>
      </w:r>
    </w:p>
    <w:p w14:paraId="5159A335" w14:textId="77777777" w:rsidR="00476FA4" w:rsidRPr="008013F5" w:rsidRDefault="00BF6F90">
      <w:pPr>
        <w:pStyle w:val="ListParagraph"/>
        <w:numPr>
          <w:ilvl w:val="0"/>
          <w:numId w:val="4"/>
        </w:numPr>
        <w:jc w:val="both"/>
        <w:rPr>
          <w:rFonts w:ascii="Times New Roman" w:eastAsia="Times New Roman" w:hAnsi="Times New Roman" w:cs="Times New Roman"/>
          <w:lang w:val="fr-FR" w:eastAsia="de-DE"/>
        </w:rPr>
      </w:pPr>
      <w:r w:rsidRPr="008013F5">
        <w:rPr>
          <w:rFonts w:ascii="Times New Roman" w:eastAsia="Times New Roman" w:hAnsi="Times New Roman" w:cs="Times New Roman"/>
          <w:lang w:val="fr-FR" w:eastAsia="de-DE"/>
        </w:rPr>
        <w:t xml:space="preserve">Identifier les </w:t>
      </w:r>
      <w:r w:rsidR="00A8375F" w:rsidRPr="008013F5">
        <w:rPr>
          <w:rFonts w:ascii="Times New Roman" w:eastAsia="Times New Roman" w:hAnsi="Times New Roman" w:cs="Times New Roman"/>
          <w:b/>
          <w:bCs/>
          <w:lang w:val="fr-FR" w:eastAsia="de-DE"/>
        </w:rPr>
        <w:t xml:space="preserve">leçons tirées </w:t>
      </w:r>
      <w:r w:rsidR="00A8375F" w:rsidRPr="0050619B">
        <w:rPr>
          <w:rFonts w:ascii="Times New Roman" w:eastAsia="Times New Roman" w:hAnsi="Times New Roman" w:cs="Times New Roman"/>
          <w:lang w:val="fr-FR" w:eastAsia="de-DE"/>
        </w:rPr>
        <w:t>de</w:t>
      </w:r>
      <w:r w:rsidR="00A8375F" w:rsidRPr="008013F5">
        <w:rPr>
          <w:rFonts w:ascii="Times New Roman" w:eastAsia="Times New Roman" w:hAnsi="Times New Roman" w:cs="Times New Roman"/>
          <w:b/>
          <w:bCs/>
          <w:lang w:val="fr-FR" w:eastAsia="de-DE"/>
        </w:rPr>
        <w:t xml:space="preserve"> </w:t>
      </w:r>
      <w:r w:rsidR="00A8375F" w:rsidRPr="008013F5">
        <w:rPr>
          <w:rFonts w:ascii="Times New Roman" w:eastAsia="Times New Roman" w:hAnsi="Times New Roman" w:cs="Times New Roman"/>
          <w:lang w:val="fr-FR" w:eastAsia="de-DE"/>
        </w:rPr>
        <w:t xml:space="preserve">ce qui fonctionne et de ce qui ne fonctionne pas </w:t>
      </w:r>
      <w:r w:rsidRPr="008013F5">
        <w:rPr>
          <w:rFonts w:ascii="Times New Roman" w:eastAsia="Times New Roman" w:hAnsi="Times New Roman" w:cs="Times New Roman"/>
          <w:lang w:val="fr-FR" w:eastAsia="de-DE"/>
        </w:rPr>
        <w:t xml:space="preserve">et fournir des résultats, des conclusions et des recommandations fondés sur des données probantes </w:t>
      </w:r>
      <w:r w:rsidR="00A8375F" w:rsidRPr="008013F5">
        <w:rPr>
          <w:rFonts w:ascii="Times New Roman" w:eastAsia="Times New Roman" w:hAnsi="Times New Roman" w:cs="Times New Roman"/>
          <w:lang w:val="fr-FR" w:eastAsia="de-DE"/>
        </w:rPr>
        <w:t xml:space="preserve">pour la prise de décision stratégique </w:t>
      </w:r>
      <w:r w:rsidRPr="008013F5">
        <w:rPr>
          <w:rFonts w:ascii="Times New Roman" w:eastAsia="Times New Roman" w:hAnsi="Times New Roman" w:cs="Times New Roman"/>
          <w:lang w:val="fr-FR" w:eastAsia="de-DE"/>
        </w:rPr>
        <w:t xml:space="preserve">et opérationnelle </w:t>
      </w:r>
      <w:r w:rsidR="00A8375F" w:rsidRPr="008013F5">
        <w:rPr>
          <w:rFonts w:ascii="Times New Roman" w:eastAsia="Times New Roman" w:hAnsi="Times New Roman" w:cs="Times New Roman"/>
          <w:lang w:val="fr-FR" w:eastAsia="de-DE"/>
        </w:rPr>
        <w:t xml:space="preserve">sur la programmation </w:t>
      </w:r>
      <w:r w:rsidR="00A93B87" w:rsidRPr="008013F5">
        <w:rPr>
          <w:rFonts w:ascii="Times New Roman" w:eastAsia="Times New Roman" w:hAnsi="Times New Roman" w:cs="Times New Roman"/>
          <w:lang w:val="fr-FR" w:eastAsia="de-DE"/>
        </w:rPr>
        <w:t xml:space="preserve">et la mise en œuvre </w:t>
      </w:r>
      <w:r w:rsidR="00A8375F" w:rsidRPr="008013F5">
        <w:rPr>
          <w:rFonts w:ascii="Times New Roman" w:eastAsia="Times New Roman" w:hAnsi="Times New Roman" w:cs="Times New Roman"/>
          <w:lang w:val="fr-FR" w:eastAsia="de-DE"/>
        </w:rPr>
        <w:t>futures.</w:t>
      </w:r>
    </w:p>
    <w:p w14:paraId="21CCD81B" w14:textId="77777777" w:rsidR="00716AD4" w:rsidRPr="008013F5" w:rsidRDefault="00716AD4" w:rsidP="00516DA9">
      <w:pPr>
        <w:pStyle w:val="Heading2"/>
        <w:rPr>
          <w:rFonts w:ascii="Times New Roman" w:hAnsi="Times New Roman" w:cs="Times New Roman"/>
          <w:b/>
          <w:bCs/>
          <w:sz w:val="25"/>
          <w:szCs w:val="25"/>
          <w:lang w:val="fr-FR"/>
        </w:rPr>
      </w:pPr>
    </w:p>
    <w:bookmarkEnd w:id="6"/>
    <w:bookmarkEnd w:id="7"/>
    <w:p w14:paraId="76D6FC48" w14:textId="658DC16E" w:rsidR="00476FA4" w:rsidRDefault="00620B85">
      <w:pPr>
        <w:pStyle w:val="Heading2"/>
        <w:numPr>
          <w:ilvl w:val="0"/>
          <w:numId w:val="10"/>
        </w:numPr>
        <w:rPr>
          <w:rFonts w:ascii="Times New Roman" w:hAnsi="Times New Roman" w:cs="Times New Roman"/>
          <w:b/>
          <w:bCs/>
          <w:sz w:val="25"/>
          <w:szCs w:val="25"/>
          <w:lang w:val="en-US"/>
        </w:rPr>
      </w:pPr>
      <w:proofErr w:type="spellStart"/>
      <w:r>
        <w:rPr>
          <w:rFonts w:ascii="Times New Roman" w:hAnsi="Times New Roman" w:cs="Times New Roman"/>
          <w:b/>
          <w:bCs/>
          <w:sz w:val="25"/>
          <w:szCs w:val="25"/>
          <w:lang w:val="en-US"/>
        </w:rPr>
        <w:t>Portée</w:t>
      </w:r>
      <w:proofErr w:type="spellEnd"/>
      <w:r>
        <w:rPr>
          <w:rFonts w:ascii="Times New Roman" w:hAnsi="Times New Roman" w:cs="Times New Roman"/>
          <w:b/>
          <w:bCs/>
          <w:sz w:val="25"/>
          <w:szCs w:val="25"/>
          <w:lang w:val="en-US"/>
        </w:rPr>
        <w:t xml:space="preserve"> et champ </w:t>
      </w:r>
      <w:proofErr w:type="spellStart"/>
      <w:r>
        <w:rPr>
          <w:rFonts w:ascii="Times New Roman" w:hAnsi="Times New Roman" w:cs="Times New Roman"/>
          <w:b/>
          <w:bCs/>
          <w:sz w:val="25"/>
          <w:szCs w:val="25"/>
          <w:lang w:val="en-US"/>
        </w:rPr>
        <w:t>d’application</w:t>
      </w:r>
      <w:proofErr w:type="spellEnd"/>
    </w:p>
    <w:p w14:paraId="30995E74" w14:textId="0825688D"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L'évaluation devrait avoir lieu entre janvier </w:t>
      </w:r>
      <w:r w:rsidR="002D40CE" w:rsidRPr="008013F5">
        <w:rPr>
          <w:rFonts w:ascii="Times New Roman" w:hAnsi="Times New Roman" w:cs="Times New Roman"/>
          <w:lang w:val="fr-FR"/>
        </w:rPr>
        <w:t xml:space="preserve">et </w:t>
      </w:r>
      <w:r w:rsidR="001167BE">
        <w:rPr>
          <w:rFonts w:ascii="Times New Roman" w:hAnsi="Times New Roman" w:cs="Times New Roman"/>
          <w:lang w:val="fr-FR"/>
        </w:rPr>
        <w:t>mai</w:t>
      </w:r>
      <w:r w:rsidR="002D40CE" w:rsidRPr="008013F5">
        <w:rPr>
          <w:rFonts w:ascii="Times New Roman" w:hAnsi="Times New Roman" w:cs="Times New Roman"/>
          <w:lang w:val="fr-FR"/>
        </w:rPr>
        <w:t xml:space="preserve"> </w:t>
      </w:r>
      <w:r w:rsidRPr="008013F5">
        <w:rPr>
          <w:rFonts w:ascii="Times New Roman" w:hAnsi="Times New Roman" w:cs="Times New Roman"/>
          <w:lang w:val="fr-FR"/>
        </w:rPr>
        <w:t>2025</w:t>
      </w:r>
      <w:r w:rsidR="00B92801" w:rsidRPr="008013F5">
        <w:rPr>
          <w:rFonts w:ascii="Times New Roman" w:hAnsi="Times New Roman" w:cs="Times New Roman"/>
          <w:lang w:val="fr-FR"/>
        </w:rPr>
        <w:t xml:space="preserve">. </w:t>
      </w:r>
      <w:r w:rsidR="0021518A" w:rsidRPr="008013F5">
        <w:rPr>
          <w:rFonts w:ascii="Times New Roman" w:hAnsi="Times New Roman" w:cs="Times New Roman"/>
          <w:lang w:val="fr-FR"/>
        </w:rPr>
        <w:t>Afin d'approfondir l'apprentissage, il a été décidé de mettre en œuvre l'étude en tenant compte des aspects particulièrement saillants des zones de mise en œuvre :</w:t>
      </w:r>
    </w:p>
    <w:p w14:paraId="06C94B35" w14:textId="77777777" w:rsidR="00476FA4" w:rsidRDefault="00BF6F90">
      <w:pPr>
        <w:pStyle w:val="ListParagraph"/>
        <w:numPr>
          <w:ilvl w:val="0"/>
          <w:numId w:val="16"/>
        </w:numPr>
        <w:jc w:val="both"/>
        <w:rPr>
          <w:rFonts w:ascii="Times New Roman" w:hAnsi="Times New Roman" w:cs="Times New Roman"/>
          <w:lang w:val="en-US"/>
        </w:rPr>
      </w:pPr>
      <w:r w:rsidRPr="0021518A">
        <w:rPr>
          <w:rFonts w:ascii="Times New Roman" w:hAnsi="Times New Roman" w:cs="Times New Roman"/>
          <w:lang w:val="en-US"/>
        </w:rPr>
        <w:t xml:space="preserve">milieux </w:t>
      </w:r>
      <w:proofErr w:type="spellStart"/>
      <w:r w:rsidRPr="0021518A">
        <w:rPr>
          <w:rFonts w:ascii="Times New Roman" w:hAnsi="Times New Roman" w:cs="Times New Roman"/>
          <w:lang w:val="en-US"/>
        </w:rPr>
        <w:t>urbains</w:t>
      </w:r>
      <w:proofErr w:type="spellEnd"/>
      <w:r w:rsidRPr="0021518A">
        <w:rPr>
          <w:rFonts w:ascii="Times New Roman" w:hAnsi="Times New Roman" w:cs="Times New Roman"/>
          <w:lang w:val="en-US"/>
        </w:rPr>
        <w:t xml:space="preserve"> / </w:t>
      </w:r>
      <w:proofErr w:type="spellStart"/>
      <w:r w:rsidRPr="0021518A">
        <w:rPr>
          <w:rFonts w:ascii="Times New Roman" w:hAnsi="Times New Roman" w:cs="Times New Roman"/>
          <w:lang w:val="en-US"/>
        </w:rPr>
        <w:t>ruraux</w:t>
      </w:r>
      <w:proofErr w:type="spellEnd"/>
    </w:p>
    <w:p w14:paraId="7356D32B" w14:textId="36E6BE59" w:rsidR="00476FA4" w:rsidRDefault="00620B85">
      <w:pPr>
        <w:pStyle w:val="ListParagraph"/>
        <w:numPr>
          <w:ilvl w:val="0"/>
          <w:numId w:val="16"/>
        </w:numPr>
        <w:jc w:val="both"/>
        <w:rPr>
          <w:rFonts w:ascii="Times New Roman" w:hAnsi="Times New Roman" w:cs="Times New Roman"/>
          <w:lang w:val="en-US"/>
        </w:rPr>
      </w:pPr>
      <w:proofErr w:type="spellStart"/>
      <w:r>
        <w:rPr>
          <w:rFonts w:ascii="Times New Roman" w:hAnsi="Times New Roman" w:cs="Times New Roman"/>
          <w:lang w:val="en-US"/>
        </w:rPr>
        <w:t>r</w:t>
      </w:r>
      <w:r w:rsidRPr="0021518A">
        <w:rPr>
          <w:rFonts w:ascii="Times New Roman" w:hAnsi="Times New Roman" w:cs="Times New Roman"/>
          <w:lang w:val="en-US"/>
        </w:rPr>
        <w:t>égions</w:t>
      </w:r>
      <w:proofErr w:type="spellEnd"/>
      <w:r w:rsidRPr="0021518A">
        <w:rPr>
          <w:rFonts w:ascii="Times New Roman" w:hAnsi="Times New Roman" w:cs="Times New Roman"/>
          <w:lang w:val="en-US"/>
        </w:rPr>
        <w:t xml:space="preserve"> Centre / Sud </w:t>
      </w:r>
    </w:p>
    <w:p w14:paraId="64F00B2F" w14:textId="77777777" w:rsidR="00476FA4" w:rsidRDefault="00BF6F90">
      <w:pPr>
        <w:pStyle w:val="ListParagraph"/>
        <w:numPr>
          <w:ilvl w:val="0"/>
          <w:numId w:val="16"/>
        </w:numPr>
        <w:jc w:val="both"/>
        <w:rPr>
          <w:rFonts w:ascii="Times New Roman" w:hAnsi="Times New Roman" w:cs="Times New Roman"/>
          <w:lang w:val="en-US"/>
        </w:rPr>
      </w:pPr>
      <w:r w:rsidRPr="0021518A">
        <w:rPr>
          <w:rFonts w:ascii="Times New Roman" w:hAnsi="Times New Roman" w:cs="Times New Roman"/>
          <w:lang w:val="en-US"/>
        </w:rPr>
        <w:t>zones frontalières / non frontalières</w:t>
      </w:r>
    </w:p>
    <w:p w14:paraId="67E9FFEF" w14:textId="7777777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À cette fin, il a été décidé de concentrer l'étude sur deux localités de projet présentant ces profils distincts : </w:t>
      </w:r>
    </w:p>
    <w:p w14:paraId="170C6951" w14:textId="77777777" w:rsidR="00476FA4" w:rsidRPr="008013F5" w:rsidRDefault="00BF6F90">
      <w:pPr>
        <w:pStyle w:val="ListParagraph"/>
        <w:numPr>
          <w:ilvl w:val="0"/>
          <w:numId w:val="15"/>
        </w:numPr>
        <w:jc w:val="both"/>
        <w:rPr>
          <w:rFonts w:ascii="Times New Roman" w:hAnsi="Times New Roman" w:cs="Times New Roman"/>
          <w:lang w:val="fr-FR"/>
        </w:rPr>
      </w:pPr>
      <w:r w:rsidRPr="008013F5">
        <w:rPr>
          <w:rFonts w:ascii="Times New Roman" w:hAnsi="Times New Roman" w:cs="Times New Roman"/>
          <w:lang w:val="fr-FR"/>
        </w:rPr>
        <w:t>Mopti : urbain, région Centre, zone non frontalière</w:t>
      </w:r>
    </w:p>
    <w:p w14:paraId="5230F4B5" w14:textId="2BD00E85" w:rsidR="00476FA4" w:rsidRPr="008013F5" w:rsidRDefault="00BF6F90">
      <w:pPr>
        <w:pStyle w:val="ListParagraph"/>
        <w:numPr>
          <w:ilvl w:val="0"/>
          <w:numId w:val="15"/>
        </w:numPr>
        <w:jc w:val="both"/>
        <w:rPr>
          <w:rFonts w:ascii="Times New Roman" w:hAnsi="Times New Roman" w:cs="Times New Roman"/>
          <w:lang w:val="fr-FR"/>
        </w:rPr>
      </w:pPr>
      <w:proofErr w:type="spellStart"/>
      <w:r w:rsidRPr="008013F5">
        <w:rPr>
          <w:rFonts w:ascii="Times New Roman" w:hAnsi="Times New Roman" w:cs="Times New Roman"/>
          <w:lang w:val="fr-FR"/>
        </w:rPr>
        <w:t>Tominian</w:t>
      </w:r>
      <w:proofErr w:type="spellEnd"/>
      <w:r w:rsidRPr="008013F5">
        <w:rPr>
          <w:rFonts w:ascii="Times New Roman" w:hAnsi="Times New Roman" w:cs="Times New Roman"/>
          <w:lang w:val="fr-FR"/>
        </w:rPr>
        <w:t xml:space="preserve"> : rural, région </w:t>
      </w:r>
      <w:r w:rsidR="00620B85">
        <w:rPr>
          <w:rFonts w:ascii="Times New Roman" w:hAnsi="Times New Roman" w:cs="Times New Roman"/>
          <w:lang w:val="fr-FR"/>
        </w:rPr>
        <w:t>S</w:t>
      </w:r>
      <w:r w:rsidRPr="008013F5">
        <w:rPr>
          <w:rFonts w:ascii="Times New Roman" w:hAnsi="Times New Roman" w:cs="Times New Roman"/>
          <w:lang w:val="fr-FR"/>
        </w:rPr>
        <w:t>ud, zone frontalière</w:t>
      </w:r>
    </w:p>
    <w:p w14:paraId="3B28AB01" w14:textId="0D4524CB" w:rsidR="00476FA4" w:rsidRPr="008013F5" w:rsidRDefault="002E7274">
      <w:pPr>
        <w:jc w:val="both"/>
        <w:rPr>
          <w:rFonts w:ascii="Times New Roman" w:hAnsi="Times New Roman" w:cs="Times New Roman"/>
          <w:lang w:val="fr-FR"/>
        </w:rPr>
      </w:pPr>
      <w:r w:rsidRPr="008013F5">
        <w:rPr>
          <w:rFonts w:ascii="Times New Roman" w:hAnsi="Times New Roman" w:cs="Times New Roman"/>
          <w:lang w:val="fr-FR"/>
        </w:rPr>
        <w:t xml:space="preserve">L'évaluation </w:t>
      </w:r>
      <w:r w:rsidR="007B36F2">
        <w:rPr>
          <w:rFonts w:ascii="Times New Roman" w:hAnsi="Times New Roman" w:cs="Times New Roman"/>
          <w:lang w:val="fr-FR"/>
        </w:rPr>
        <w:t>doit</w:t>
      </w:r>
      <w:r w:rsidRPr="008013F5">
        <w:rPr>
          <w:rFonts w:ascii="Times New Roman" w:hAnsi="Times New Roman" w:cs="Times New Roman"/>
          <w:lang w:val="fr-FR"/>
        </w:rPr>
        <w:t xml:space="preserve"> viser </w:t>
      </w:r>
      <w:r w:rsidR="00CD13FE" w:rsidRPr="008013F5">
        <w:rPr>
          <w:rFonts w:ascii="Times New Roman" w:hAnsi="Times New Roman" w:cs="Times New Roman"/>
          <w:lang w:val="fr-FR"/>
        </w:rPr>
        <w:t xml:space="preserve">les </w:t>
      </w:r>
      <w:r w:rsidR="00D936A1" w:rsidRPr="008013F5">
        <w:rPr>
          <w:rFonts w:ascii="Times New Roman" w:hAnsi="Times New Roman" w:cs="Times New Roman"/>
          <w:lang w:val="fr-FR"/>
        </w:rPr>
        <w:t xml:space="preserve">résultats </w:t>
      </w:r>
      <w:r w:rsidR="00CD13FE" w:rsidRPr="008013F5">
        <w:rPr>
          <w:rFonts w:ascii="Times New Roman" w:hAnsi="Times New Roman" w:cs="Times New Roman"/>
          <w:lang w:val="fr-FR"/>
        </w:rPr>
        <w:t xml:space="preserve">suivants </w:t>
      </w:r>
      <w:r w:rsidR="00D936A1" w:rsidRPr="008013F5">
        <w:rPr>
          <w:rFonts w:ascii="Times New Roman" w:hAnsi="Times New Roman" w:cs="Times New Roman"/>
          <w:lang w:val="fr-FR"/>
        </w:rPr>
        <w:t xml:space="preserve">du </w:t>
      </w:r>
      <w:r w:rsidRPr="008013F5">
        <w:rPr>
          <w:rFonts w:ascii="Times New Roman" w:hAnsi="Times New Roman" w:cs="Times New Roman"/>
          <w:lang w:val="fr-FR"/>
        </w:rPr>
        <w:t>projet :</w:t>
      </w:r>
    </w:p>
    <w:p w14:paraId="22352ABE" w14:textId="77777777" w:rsidR="00476FA4" w:rsidRPr="008013F5" w:rsidRDefault="00BF6F90">
      <w:pPr>
        <w:pStyle w:val="ListParagraph"/>
        <w:ind w:left="709"/>
        <w:jc w:val="both"/>
        <w:rPr>
          <w:rFonts w:ascii="Times New Roman" w:hAnsi="Times New Roman" w:cs="Times New Roman"/>
          <w:lang w:val="fr-FR"/>
        </w:rPr>
      </w:pPr>
      <w:r w:rsidRPr="008013F5">
        <w:rPr>
          <w:rFonts w:ascii="Times New Roman" w:hAnsi="Times New Roman" w:cs="Times New Roman"/>
          <w:lang w:val="fr-FR"/>
        </w:rPr>
        <w:t>1 : La résilience des jeunes face à l'extrémisme violent est renforcée par la création d'espaces de dialogue inclusifs et participatifs et d'opportunités économiques.</w:t>
      </w:r>
    </w:p>
    <w:p w14:paraId="6CB58BA5" w14:textId="77777777" w:rsidR="00476FA4" w:rsidRPr="008013F5" w:rsidRDefault="00BF6F90">
      <w:pPr>
        <w:pStyle w:val="ListParagraph"/>
        <w:ind w:left="709"/>
        <w:jc w:val="both"/>
        <w:rPr>
          <w:rFonts w:ascii="Times New Roman" w:hAnsi="Times New Roman" w:cs="Times New Roman"/>
          <w:lang w:val="fr-FR"/>
        </w:rPr>
      </w:pPr>
      <w:r w:rsidRPr="008013F5">
        <w:rPr>
          <w:rFonts w:ascii="Times New Roman" w:hAnsi="Times New Roman" w:cs="Times New Roman"/>
          <w:lang w:val="fr-FR"/>
        </w:rPr>
        <w:t>2 : La confiance et les liens de collaboration entre les jeunes vulnérables, les forces de sécurité et de défense et les autorités civiles sont établis pour favoriser la paix et la prospérité.</w:t>
      </w:r>
    </w:p>
    <w:p w14:paraId="0BBB23DE" w14:textId="7777777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Le troisième résultat du projet n'a pas encore été entièrement mis en œuvre et ne fait donc pas partie du champ d'application de la présente évaluation.</w:t>
      </w:r>
    </w:p>
    <w:p w14:paraId="2A76FF5A" w14:textId="77777777" w:rsidR="002E7274" w:rsidRPr="008013F5" w:rsidRDefault="002E7274" w:rsidP="00516DA9">
      <w:pPr>
        <w:rPr>
          <w:rFonts w:ascii="Times New Roman" w:hAnsi="Times New Roman" w:cs="Times New Roman"/>
          <w:sz w:val="19"/>
          <w:szCs w:val="19"/>
          <w:lang w:val="fr-FR"/>
        </w:rPr>
      </w:pPr>
    </w:p>
    <w:p w14:paraId="255BB6EB" w14:textId="77777777" w:rsidR="00476FA4" w:rsidRDefault="00BF6F90">
      <w:pPr>
        <w:pStyle w:val="Heading2"/>
        <w:numPr>
          <w:ilvl w:val="0"/>
          <w:numId w:val="10"/>
        </w:numPr>
        <w:rPr>
          <w:rFonts w:ascii="Times New Roman" w:hAnsi="Times New Roman" w:cs="Times New Roman"/>
          <w:b/>
          <w:bCs/>
          <w:sz w:val="25"/>
          <w:szCs w:val="25"/>
          <w:lang w:val="en-US"/>
        </w:rPr>
      </w:pPr>
      <w:bookmarkStart w:id="8" w:name="_Toc177562445"/>
      <w:bookmarkStart w:id="9" w:name="_Toc177562537"/>
      <w:bookmarkStart w:id="10" w:name="_Toc183474626"/>
      <w:r w:rsidRPr="00C24F16">
        <w:rPr>
          <w:rFonts w:ascii="Times New Roman" w:hAnsi="Times New Roman" w:cs="Times New Roman"/>
          <w:b/>
          <w:bCs/>
          <w:sz w:val="25"/>
          <w:szCs w:val="25"/>
          <w:lang w:val="en-US"/>
        </w:rPr>
        <w:t xml:space="preserve">Questions </w:t>
      </w:r>
      <w:proofErr w:type="spellStart"/>
      <w:r w:rsidRPr="00C24F16">
        <w:rPr>
          <w:rFonts w:ascii="Times New Roman" w:hAnsi="Times New Roman" w:cs="Times New Roman"/>
          <w:b/>
          <w:bCs/>
          <w:sz w:val="25"/>
          <w:szCs w:val="25"/>
          <w:lang w:val="en-US"/>
        </w:rPr>
        <w:t>d'évaluation</w:t>
      </w:r>
      <w:bookmarkEnd w:id="8"/>
      <w:bookmarkEnd w:id="9"/>
      <w:bookmarkEnd w:id="10"/>
      <w:proofErr w:type="spellEnd"/>
    </w:p>
    <w:p w14:paraId="4A8522D9" w14:textId="77777777" w:rsidR="00476FA4" w:rsidRDefault="00BF6F90">
      <w:pPr>
        <w:rPr>
          <w:b/>
          <w:bCs/>
          <w:lang w:val="en-US"/>
        </w:rPr>
      </w:pPr>
      <w:r w:rsidRPr="00C24F16">
        <w:rPr>
          <w:rFonts w:ascii="Times New Roman" w:hAnsi="Times New Roman" w:cs="Times New Roman"/>
          <w:b/>
          <w:bCs/>
          <w:lang w:val="en-US"/>
        </w:rPr>
        <w:t xml:space="preserve">Cohérence </w:t>
      </w:r>
    </w:p>
    <w:p w14:paraId="7096B1A0" w14:textId="77777777" w:rsidR="00476FA4" w:rsidRPr="008013F5" w:rsidRDefault="00BF6F90">
      <w:pPr>
        <w:pStyle w:val="ListParagraph"/>
        <w:numPr>
          <w:ilvl w:val="0"/>
          <w:numId w:val="13"/>
        </w:numPr>
        <w:jc w:val="both"/>
        <w:rPr>
          <w:lang w:val="fr-FR"/>
        </w:rPr>
      </w:pPr>
      <w:r w:rsidRPr="008013F5">
        <w:rPr>
          <w:rFonts w:ascii="Times New Roman" w:hAnsi="Times New Roman" w:cs="Times New Roman"/>
          <w:lang w:val="fr-FR"/>
        </w:rPr>
        <w:t xml:space="preserve">Dans quelle mesure le projet </w:t>
      </w:r>
      <w:r w:rsidR="0079007E" w:rsidRPr="008013F5">
        <w:rPr>
          <w:rFonts w:ascii="Times New Roman" w:hAnsi="Times New Roman" w:cs="Times New Roman"/>
          <w:lang w:val="fr-FR"/>
        </w:rPr>
        <w:t xml:space="preserve">s'intègre-t-il et </w:t>
      </w:r>
      <w:r w:rsidR="00122870" w:rsidRPr="008013F5">
        <w:rPr>
          <w:rFonts w:ascii="Times New Roman" w:hAnsi="Times New Roman" w:cs="Times New Roman"/>
          <w:lang w:val="fr-FR"/>
        </w:rPr>
        <w:t xml:space="preserve">complète-t-il </w:t>
      </w:r>
      <w:r w:rsidR="00A54BCC" w:rsidRPr="008013F5">
        <w:rPr>
          <w:rFonts w:ascii="Times New Roman" w:hAnsi="Times New Roman" w:cs="Times New Roman"/>
          <w:lang w:val="fr-FR"/>
        </w:rPr>
        <w:t xml:space="preserve">d'autres initiatives </w:t>
      </w:r>
      <w:r w:rsidR="00ED16BD" w:rsidRPr="008013F5">
        <w:rPr>
          <w:rFonts w:ascii="Times New Roman" w:hAnsi="Times New Roman" w:cs="Times New Roman"/>
          <w:lang w:val="fr-FR"/>
        </w:rPr>
        <w:t xml:space="preserve">connexes </w:t>
      </w:r>
      <w:r w:rsidR="00A54BCC" w:rsidRPr="008013F5">
        <w:rPr>
          <w:rFonts w:ascii="Times New Roman" w:hAnsi="Times New Roman" w:cs="Times New Roman"/>
          <w:lang w:val="fr-FR"/>
        </w:rPr>
        <w:t xml:space="preserve">dans les régions sélectionnées du Mali </w:t>
      </w:r>
      <w:r w:rsidR="00122870" w:rsidRPr="008013F5">
        <w:rPr>
          <w:rFonts w:ascii="Times New Roman" w:hAnsi="Times New Roman" w:cs="Times New Roman"/>
          <w:lang w:val="fr-FR"/>
        </w:rPr>
        <w:t xml:space="preserve">et </w:t>
      </w:r>
      <w:r w:rsidR="00A54BCC" w:rsidRPr="008013F5">
        <w:rPr>
          <w:rFonts w:ascii="Times New Roman" w:hAnsi="Times New Roman" w:cs="Times New Roman"/>
          <w:lang w:val="fr-FR"/>
        </w:rPr>
        <w:t xml:space="preserve">comment </w:t>
      </w:r>
      <w:r w:rsidR="00122870" w:rsidRPr="008013F5">
        <w:rPr>
          <w:rFonts w:ascii="Times New Roman" w:hAnsi="Times New Roman" w:cs="Times New Roman"/>
          <w:lang w:val="fr-FR"/>
        </w:rPr>
        <w:t xml:space="preserve">les synergies </w:t>
      </w:r>
      <w:r w:rsidR="00872586" w:rsidRPr="008013F5">
        <w:rPr>
          <w:rFonts w:ascii="Times New Roman" w:hAnsi="Times New Roman" w:cs="Times New Roman"/>
          <w:lang w:val="fr-FR"/>
        </w:rPr>
        <w:t xml:space="preserve">pourraient-elles être renforcées </w:t>
      </w:r>
      <w:r w:rsidRPr="008013F5">
        <w:rPr>
          <w:rFonts w:ascii="Times New Roman" w:hAnsi="Times New Roman" w:cs="Times New Roman"/>
          <w:lang w:val="fr-FR"/>
        </w:rPr>
        <w:t xml:space="preserve">? </w:t>
      </w:r>
    </w:p>
    <w:p w14:paraId="60293C50" w14:textId="77777777" w:rsidR="00476FA4" w:rsidRDefault="00BF6F90">
      <w:pPr>
        <w:jc w:val="both"/>
        <w:rPr>
          <w:rFonts w:ascii="Times New Roman" w:hAnsi="Times New Roman" w:cs="Times New Roman"/>
          <w:lang w:val="en-US"/>
        </w:rPr>
      </w:pPr>
      <w:r w:rsidRPr="00C24F16">
        <w:rPr>
          <w:rFonts w:ascii="Times New Roman" w:hAnsi="Times New Roman" w:cs="Times New Roman"/>
          <w:b/>
          <w:bCs/>
          <w:lang w:val="fr-ML"/>
        </w:rPr>
        <w:t>Pertinence</w:t>
      </w:r>
    </w:p>
    <w:p w14:paraId="28FBA633" w14:textId="5371646E" w:rsidR="00476FA4" w:rsidRPr="008013F5" w:rsidRDefault="00BF6F90">
      <w:pPr>
        <w:pStyle w:val="ListParagraph"/>
        <w:numPr>
          <w:ilvl w:val="0"/>
          <w:numId w:val="13"/>
        </w:numPr>
        <w:spacing w:line="276" w:lineRule="auto"/>
        <w:jc w:val="both"/>
        <w:rPr>
          <w:lang w:val="fr-FR"/>
        </w:rPr>
      </w:pPr>
      <w:r w:rsidRPr="008013F5">
        <w:rPr>
          <w:rFonts w:ascii="Times New Roman" w:hAnsi="Times New Roman" w:cs="Times New Roman"/>
          <w:lang w:val="fr-FR"/>
        </w:rPr>
        <w:t>Dans quelle mesure l</w:t>
      </w:r>
      <w:r w:rsidR="007C32F8" w:rsidRPr="008013F5">
        <w:rPr>
          <w:rFonts w:ascii="Times New Roman" w:hAnsi="Times New Roman" w:cs="Times New Roman"/>
          <w:lang w:val="fr-FR"/>
        </w:rPr>
        <w:t xml:space="preserve">'approche du projet et la </w:t>
      </w:r>
      <w:r w:rsidRPr="008013F5">
        <w:rPr>
          <w:rFonts w:ascii="Times New Roman" w:hAnsi="Times New Roman" w:cs="Times New Roman"/>
          <w:lang w:val="fr-FR"/>
        </w:rPr>
        <w:t xml:space="preserve">théorie du changement qui lui est associée </w:t>
      </w:r>
      <w:r w:rsidR="007C32F8" w:rsidRPr="008013F5">
        <w:rPr>
          <w:rFonts w:ascii="Times New Roman" w:hAnsi="Times New Roman" w:cs="Times New Roman"/>
          <w:lang w:val="fr-FR"/>
        </w:rPr>
        <w:t>sont-elles adaptées à l'engagement des jeunes en faveur de la paix et contre l'extrémisme violent</w:t>
      </w:r>
      <w:r w:rsidR="008A5F33" w:rsidRPr="008A5F33">
        <w:rPr>
          <w:rFonts w:ascii="Times New Roman" w:hAnsi="Times New Roman" w:cs="Times New Roman"/>
          <w:lang w:val="fr-FR"/>
        </w:rPr>
        <w:t xml:space="preserve">, </w:t>
      </w:r>
      <w:r w:rsidR="00776BA2" w:rsidRPr="008013F5">
        <w:rPr>
          <w:rFonts w:ascii="Times New Roman" w:hAnsi="Times New Roman" w:cs="Times New Roman"/>
          <w:lang w:val="fr-FR"/>
        </w:rPr>
        <w:t xml:space="preserve">dans une optique </w:t>
      </w:r>
      <w:r w:rsidR="00247915" w:rsidRPr="008013F5">
        <w:rPr>
          <w:rFonts w:ascii="Times New Roman" w:hAnsi="Times New Roman" w:cs="Times New Roman"/>
          <w:lang w:val="fr-FR"/>
        </w:rPr>
        <w:t xml:space="preserve">de genre </w:t>
      </w:r>
      <w:r w:rsidR="006155A1" w:rsidRPr="008013F5">
        <w:rPr>
          <w:rFonts w:ascii="Times New Roman" w:hAnsi="Times New Roman" w:cs="Times New Roman"/>
          <w:lang w:val="fr-FR"/>
        </w:rPr>
        <w:t xml:space="preserve">intersectionnelle </w:t>
      </w:r>
      <w:r w:rsidR="00776BA2" w:rsidRPr="008013F5">
        <w:rPr>
          <w:rFonts w:ascii="Times New Roman" w:hAnsi="Times New Roman" w:cs="Times New Roman"/>
          <w:lang w:val="fr-FR"/>
        </w:rPr>
        <w:t xml:space="preserve">(filles, garçons, jeunes femmes et jeunes hommes) ? </w:t>
      </w:r>
    </w:p>
    <w:p w14:paraId="5923C3E6" w14:textId="77777777" w:rsidR="00476FA4" w:rsidRDefault="00BF6F90">
      <w:pPr>
        <w:jc w:val="both"/>
        <w:rPr>
          <w:rFonts w:ascii="Times New Roman" w:hAnsi="Times New Roman" w:cs="Times New Roman"/>
          <w:lang w:val="fr-ML"/>
        </w:rPr>
      </w:pPr>
      <w:r w:rsidRPr="00C24F16">
        <w:rPr>
          <w:rFonts w:ascii="Times New Roman" w:hAnsi="Times New Roman" w:cs="Times New Roman"/>
          <w:b/>
          <w:bCs/>
          <w:lang w:val="fr-ML"/>
        </w:rPr>
        <w:t>Efficacité</w:t>
      </w:r>
    </w:p>
    <w:p w14:paraId="4C1F326F" w14:textId="4964FFDE" w:rsidR="00476FA4" w:rsidRDefault="00BF6F90">
      <w:pPr>
        <w:pStyle w:val="Default"/>
        <w:numPr>
          <w:ilvl w:val="0"/>
          <w:numId w:val="13"/>
        </w:numPr>
        <w:spacing w:line="276" w:lineRule="auto"/>
        <w:jc w:val="both"/>
        <w:rPr>
          <w:rFonts w:ascii="Times New Roman" w:hAnsi="Times New Roman" w:cs="Times New Roman"/>
        </w:rPr>
      </w:pPr>
      <w:r w:rsidRPr="008013F5">
        <w:rPr>
          <w:rFonts w:ascii="Times New Roman" w:hAnsi="Times New Roman" w:cs="Times New Roman"/>
          <w:lang w:val="fr-FR"/>
        </w:rPr>
        <w:t>Dans quelle mesure l'engagement d'</w:t>
      </w:r>
      <w:r w:rsidR="0054436C" w:rsidRPr="008013F5">
        <w:rPr>
          <w:rFonts w:ascii="Times New Roman" w:hAnsi="Times New Roman" w:cs="Times New Roman"/>
          <w:lang w:val="fr-FR"/>
        </w:rPr>
        <w:t xml:space="preserve">Alert </w:t>
      </w:r>
      <w:r w:rsidRPr="008013F5">
        <w:rPr>
          <w:rFonts w:ascii="Times New Roman" w:hAnsi="Times New Roman" w:cs="Times New Roman"/>
          <w:lang w:val="fr-FR"/>
        </w:rPr>
        <w:t xml:space="preserve">a-t-il affecté la </w:t>
      </w:r>
      <w:r w:rsidR="00D40B1C" w:rsidRPr="008013F5">
        <w:rPr>
          <w:rFonts w:ascii="Times New Roman" w:hAnsi="Times New Roman" w:cs="Times New Roman"/>
          <w:lang w:val="fr-FR"/>
        </w:rPr>
        <w:t xml:space="preserve">réalisation </w:t>
      </w:r>
      <w:r w:rsidR="002E7274" w:rsidRPr="008013F5">
        <w:rPr>
          <w:rFonts w:ascii="Times New Roman" w:hAnsi="Times New Roman" w:cs="Times New Roman"/>
          <w:lang w:val="fr-FR"/>
        </w:rPr>
        <w:t>des résultats escomptés à ce stade de la mise en œuvre du projet ?</w:t>
      </w:r>
    </w:p>
    <w:p w14:paraId="63DEAB08" w14:textId="77777777" w:rsidR="00476FA4" w:rsidRPr="008013F5" w:rsidRDefault="00BF6F90">
      <w:pPr>
        <w:pStyle w:val="Default"/>
        <w:numPr>
          <w:ilvl w:val="0"/>
          <w:numId w:val="13"/>
        </w:numPr>
        <w:spacing w:line="276" w:lineRule="auto"/>
        <w:jc w:val="both"/>
        <w:rPr>
          <w:rFonts w:ascii="Times New Roman" w:hAnsi="Times New Roman" w:cs="Times New Roman"/>
          <w:lang w:val="fr-FR"/>
        </w:rPr>
      </w:pPr>
      <w:r w:rsidRPr="008013F5">
        <w:rPr>
          <w:rFonts w:ascii="Times New Roman" w:hAnsi="Times New Roman" w:cs="Times New Roman"/>
          <w:lang w:val="fr-FR"/>
        </w:rPr>
        <w:t xml:space="preserve">Quels ont été les facteurs (internes et externes) qui ont facilité ou entravé la réalisation des résultats et comment la programmation et la mise en œuvre peuvent-elles être ajustées pour améliorer l'efficacité ? </w:t>
      </w:r>
    </w:p>
    <w:p w14:paraId="396A124B" w14:textId="77777777" w:rsidR="002E7274" w:rsidRPr="008013F5" w:rsidRDefault="002E7274" w:rsidP="00C23757">
      <w:pPr>
        <w:ind w:left="720"/>
        <w:jc w:val="both"/>
        <w:rPr>
          <w:lang w:val="fr-FR"/>
        </w:rPr>
      </w:pPr>
    </w:p>
    <w:p w14:paraId="70544285" w14:textId="77777777" w:rsidR="00476FA4" w:rsidRDefault="00BF6F90">
      <w:pPr>
        <w:pStyle w:val="Heading2"/>
        <w:numPr>
          <w:ilvl w:val="0"/>
          <w:numId w:val="10"/>
        </w:numPr>
        <w:rPr>
          <w:rFonts w:ascii="Times New Roman" w:hAnsi="Times New Roman" w:cs="Times New Roman"/>
          <w:b/>
          <w:bCs/>
          <w:sz w:val="25"/>
          <w:szCs w:val="25"/>
          <w:lang w:val="en-US"/>
        </w:rPr>
      </w:pPr>
      <w:bookmarkStart w:id="11" w:name="_Toc177562446"/>
      <w:bookmarkStart w:id="12" w:name="_Toc177562538"/>
      <w:bookmarkStart w:id="13" w:name="_Toc183474627"/>
      <w:r w:rsidRPr="00C24F16">
        <w:rPr>
          <w:rFonts w:ascii="Times New Roman" w:hAnsi="Times New Roman" w:cs="Times New Roman"/>
          <w:b/>
          <w:bCs/>
          <w:sz w:val="25"/>
          <w:szCs w:val="25"/>
          <w:lang w:val="en-US"/>
        </w:rPr>
        <w:lastRenderedPageBreak/>
        <w:t xml:space="preserve">Conception et </w:t>
      </w:r>
      <w:proofErr w:type="spellStart"/>
      <w:r w:rsidRPr="00C24F16">
        <w:rPr>
          <w:rFonts w:ascii="Times New Roman" w:hAnsi="Times New Roman" w:cs="Times New Roman"/>
          <w:b/>
          <w:bCs/>
          <w:sz w:val="25"/>
          <w:szCs w:val="25"/>
          <w:lang w:val="en-US"/>
        </w:rPr>
        <w:t>approche</w:t>
      </w:r>
      <w:bookmarkEnd w:id="11"/>
      <w:bookmarkEnd w:id="12"/>
      <w:bookmarkEnd w:id="13"/>
      <w:proofErr w:type="spellEnd"/>
    </w:p>
    <w:p w14:paraId="6B88E8BE" w14:textId="77777777" w:rsidR="00476FA4" w:rsidRPr="008013F5" w:rsidRDefault="00BF6F90">
      <w:pPr>
        <w:jc w:val="both"/>
        <w:rPr>
          <w:rFonts w:ascii="Times New Roman" w:hAnsi="Times New Roman" w:cs="Times New Roman"/>
          <w:b/>
          <w:bCs/>
          <w:lang w:val="fr-FR"/>
        </w:rPr>
      </w:pPr>
      <w:r w:rsidRPr="008013F5">
        <w:rPr>
          <w:rFonts w:ascii="Times New Roman" w:hAnsi="Times New Roman" w:cs="Times New Roman"/>
          <w:b/>
          <w:bCs/>
          <w:lang w:val="fr-FR"/>
        </w:rPr>
        <w:t xml:space="preserve">Approche participative, sensible au genre et basée sur les droits de l'homme (HRBA) </w:t>
      </w:r>
    </w:p>
    <w:p w14:paraId="7E55A799"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Les consultants sont invités à proposer une conception de l'évaluation fondée sur des méthodologies participatives</w:t>
      </w:r>
      <w:r w:rsidR="00212966" w:rsidRPr="008013F5">
        <w:rPr>
          <w:rFonts w:ascii="Times New Roman" w:hAnsi="Times New Roman" w:cs="Times New Roman"/>
          <w:lang w:val="fr-FR"/>
        </w:rPr>
        <w:t xml:space="preserve">, </w:t>
      </w:r>
      <w:r w:rsidRPr="008013F5">
        <w:rPr>
          <w:rFonts w:ascii="Times New Roman" w:hAnsi="Times New Roman" w:cs="Times New Roman"/>
          <w:lang w:val="fr-FR"/>
        </w:rPr>
        <w:t xml:space="preserve">incluant les parties prenantes à tous les stades </w:t>
      </w:r>
      <w:r w:rsidR="00212966" w:rsidRPr="008013F5">
        <w:rPr>
          <w:rFonts w:ascii="Times New Roman" w:hAnsi="Times New Roman" w:cs="Times New Roman"/>
          <w:lang w:val="fr-FR"/>
        </w:rPr>
        <w:t xml:space="preserve">afin de garantir </w:t>
      </w:r>
      <w:r w:rsidRPr="008013F5">
        <w:rPr>
          <w:rFonts w:ascii="Times New Roman" w:hAnsi="Times New Roman" w:cs="Times New Roman"/>
          <w:lang w:val="fr-FR"/>
        </w:rPr>
        <w:t>que l'évaluation respecte leurs droits à la parole, à l'action et à l'appropriation</w:t>
      </w:r>
      <w:r w:rsidR="00212966" w:rsidRPr="008013F5">
        <w:rPr>
          <w:rFonts w:ascii="Times New Roman" w:hAnsi="Times New Roman" w:cs="Times New Roman"/>
          <w:lang w:val="fr-FR"/>
        </w:rPr>
        <w:t xml:space="preserve">, ce qui est particulièrement important compte tenu du contexte, des </w:t>
      </w:r>
      <w:r w:rsidR="007F1DB4" w:rsidRPr="008013F5">
        <w:rPr>
          <w:rFonts w:ascii="Times New Roman" w:hAnsi="Times New Roman" w:cs="Times New Roman"/>
          <w:lang w:val="fr-FR"/>
        </w:rPr>
        <w:t xml:space="preserve">thèmes </w:t>
      </w:r>
      <w:r w:rsidR="00212966" w:rsidRPr="008013F5">
        <w:rPr>
          <w:rFonts w:ascii="Times New Roman" w:hAnsi="Times New Roman" w:cs="Times New Roman"/>
          <w:lang w:val="fr-FR"/>
        </w:rPr>
        <w:t>et des participants de ce projet</w:t>
      </w:r>
      <w:r w:rsidRPr="008013F5">
        <w:rPr>
          <w:rFonts w:ascii="Times New Roman" w:hAnsi="Times New Roman" w:cs="Times New Roman"/>
          <w:lang w:val="fr-FR"/>
        </w:rPr>
        <w:t xml:space="preserve">. </w:t>
      </w:r>
    </w:p>
    <w:p w14:paraId="370B8C0C" w14:textId="77777777" w:rsidR="00476FA4" w:rsidRPr="008013F5" w:rsidRDefault="00BF6F90">
      <w:pPr>
        <w:spacing w:line="276" w:lineRule="auto"/>
        <w:jc w:val="both"/>
        <w:rPr>
          <w:rFonts w:ascii="Times New Roman" w:hAnsi="Times New Roman" w:cs="Times New Roman"/>
          <w:lang w:val="fr-FR"/>
        </w:rPr>
      </w:pPr>
      <w:r w:rsidRPr="008013F5">
        <w:rPr>
          <w:rFonts w:ascii="Times New Roman" w:hAnsi="Times New Roman" w:cs="Times New Roman"/>
          <w:lang w:val="fr-FR"/>
        </w:rPr>
        <w:t>L'évaluation doit être fortement axée sur la dimension de genre. Il faut veiller tout particulièrement à ce que les femmes et les filles disposent d'espaces sûrs et significatifs pour partager leurs expériences. Les méthodes participatives tenant compte de la dimension de genre devraient permettre de mieux comprendre comment les différents groupes vivent le projet et interagissent avec lui, ce qui permettra à l'évaluation de saisir des perspectives plus nuancées et plus sexuées.</w:t>
      </w:r>
    </w:p>
    <w:p w14:paraId="51087EC0" w14:textId="381A6F2A" w:rsidR="00476FA4" w:rsidRPr="008013F5" w:rsidRDefault="00BF6F90">
      <w:pPr>
        <w:jc w:val="both"/>
        <w:rPr>
          <w:rFonts w:ascii="Times New Roman" w:hAnsi="Times New Roman" w:cs="Times New Roman"/>
          <w:b/>
          <w:bCs/>
          <w:lang w:val="fr-FR"/>
        </w:rPr>
      </w:pPr>
      <w:r w:rsidRPr="008013F5">
        <w:rPr>
          <w:rFonts w:ascii="Times New Roman" w:hAnsi="Times New Roman" w:cs="Times New Roman"/>
          <w:lang w:val="fr-FR"/>
        </w:rPr>
        <w:t xml:space="preserve">Cette approche s'aligne sur l'approche fondée sur les droits de l'homme (HRBA) </w:t>
      </w:r>
      <w:r w:rsidR="007F1DB4" w:rsidRPr="008013F5">
        <w:rPr>
          <w:rFonts w:ascii="Times New Roman" w:hAnsi="Times New Roman" w:cs="Times New Roman"/>
          <w:lang w:val="fr-FR"/>
        </w:rPr>
        <w:t>d</w:t>
      </w:r>
      <w:r w:rsidR="008A5F33">
        <w:rPr>
          <w:rFonts w:ascii="Times New Roman" w:hAnsi="Times New Roman" w:cs="Times New Roman"/>
          <w:lang w:val="fr-FR"/>
        </w:rPr>
        <w:t>’</w:t>
      </w:r>
      <w:r w:rsidR="007F1DB4" w:rsidRPr="008013F5">
        <w:rPr>
          <w:rFonts w:ascii="Times New Roman" w:hAnsi="Times New Roman" w:cs="Times New Roman"/>
          <w:lang w:val="fr-FR"/>
        </w:rPr>
        <w:t>ADA</w:t>
      </w:r>
      <w:r w:rsidRPr="008013F5">
        <w:rPr>
          <w:rFonts w:ascii="Times New Roman" w:hAnsi="Times New Roman" w:cs="Times New Roman"/>
          <w:lang w:val="fr-FR"/>
        </w:rPr>
        <w:t>, qui donne la priorité à la dignité, à l'égalité et à la responsabilité, en veillant à ce que les voix marginalisées jouent un rôle central dans la définition et l'évaluation de l'impact du programme.</w:t>
      </w:r>
      <w:r w:rsidR="00212966" w:rsidRPr="008013F5">
        <w:rPr>
          <w:rFonts w:ascii="Times New Roman" w:hAnsi="Times New Roman" w:cs="Times New Roman"/>
          <w:lang w:val="fr-FR"/>
        </w:rPr>
        <w:t xml:space="preserve"> Le cadre de l'approche fondée sur les droits de l'homme sera intégré au processus d'évaluation, en veillant à ce que tous les aspects - de la collecte des données à l'analyse - respectent les principes de non-discrimination, de participation et d'autonomisation. Cette approche s'attachera à remédier aux déséquilibres de pouvoir, en veillant à ce que les voix des groupes marginalisés, tels que les jeunes et les femmes, soient entendues en priorité et que leur participation soit substantielle et non symbolique. L'approche fondée sur les droits de l'homme garantit également que l'évaluation favorise la responsabilisation, non seulement en évaluant les performances du projet, mais aussi en veillant à ce que les parties prenantes soient activement impliquées dans le respect de normes éthiques élevées.</w:t>
      </w:r>
    </w:p>
    <w:p w14:paraId="4DF37626" w14:textId="77777777" w:rsidR="00476FA4" w:rsidRPr="008013F5" w:rsidRDefault="00BF6F90">
      <w:pPr>
        <w:jc w:val="both"/>
        <w:rPr>
          <w:rFonts w:ascii="Times New Roman" w:hAnsi="Times New Roman" w:cs="Times New Roman"/>
          <w:b/>
          <w:bCs/>
          <w:lang w:val="fr-FR"/>
        </w:rPr>
      </w:pPr>
      <w:r w:rsidRPr="008013F5">
        <w:rPr>
          <w:rFonts w:ascii="Times New Roman" w:hAnsi="Times New Roman" w:cs="Times New Roman"/>
          <w:b/>
          <w:bCs/>
          <w:lang w:val="fr-FR"/>
        </w:rPr>
        <w:t xml:space="preserve">Rigueur et complexité </w:t>
      </w:r>
    </w:p>
    <w:p w14:paraId="100866F3" w14:textId="271C687A" w:rsidR="00476FA4" w:rsidRPr="008013F5" w:rsidRDefault="00BF6F90">
      <w:pPr>
        <w:jc w:val="both"/>
        <w:rPr>
          <w:rFonts w:ascii="Times New Roman" w:hAnsi="Times New Roman" w:cs="Times New Roman"/>
          <w:b/>
          <w:bCs/>
          <w:lang w:val="fr-FR"/>
        </w:rPr>
      </w:pPr>
      <w:r w:rsidRPr="008013F5">
        <w:rPr>
          <w:rFonts w:ascii="Times New Roman" w:hAnsi="Times New Roman" w:cs="Times New Roman"/>
          <w:lang w:val="fr-FR"/>
        </w:rPr>
        <w:t>Dans le cadre de l'approche proposée, le bricolage méthodologique</w:t>
      </w:r>
      <w:r w:rsidR="00BE4E1A" w:rsidRPr="00C24F16">
        <w:rPr>
          <w:rStyle w:val="FootnoteReference"/>
          <w:rFonts w:ascii="Times New Roman" w:hAnsi="Times New Roman" w:cs="Times New Roman"/>
        </w:rPr>
        <w:footnoteReference w:id="1"/>
      </w:r>
      <w:r w:rsidRPr="008013F5">
        <w:rPr>
          <w:rFonts w:ascii="Times New Roman" w:hAnsi="Times New Roman" w:cs="Times New Roman"/>
          <w:lang w:val="fr-FR"/>
        </w:rPr>
        <w:t xml:space="preserve"> est suggéré pour naviguer dans la complexité des interventions de consolidation de la paix. Les consultants doivent élaborer une stratégie d'évaluation flexible et adaptable qui s'appuie sur les points forts de différentes méthodes. Cette approche de bricolage permet à l'évaluation de répondre aux défis dynamiques et spécifiques au contexte du projet tout en maintenant une rigueur méthodologique. En outre, le bricolage permet </w:t>
      </w:r>
      <w:r w:rsidR="00284917" w:rsidRPr="008013F5">
        <w:rPr>
          <w:rFonts w:ascii="Times New Roman" w:hAnsi="Times New Roman" w:cs="Times New Roman"/>
          <w:lang w:val="fr-FR"/>
        </w:rPr>
        <w:t xml:space="preserve">de </w:t>
      </w:r>
      <w:r w:rsidRPr="008013F5">
        <w:rPr>
          <w:rFonts w:ascii="Times New Roman" w:hAnsi="Times New Roman" w:cs="Times New Roman"/>
          <w:lang w:val="fr-FR"/>
        </w:rPr>
        <w:t>trianguler les données provenant de sources et de méthodes multiples. Cela per</w:t>
      </w:r>
      <w:r w:rsidRPr="008013F5">
        <w:rPr>
          <w:rFonts w:ascii="Times New Roman" w:hAnsi="Times New Roman" w:cs="Times New Roman"/>
          <w:lang w:val="fr-FR"/>
        </w:rPr>
        <w:t>met de s'assurer que les résultats sont non seulement crédibles, mais qu'ils reflètent également la complexité du projet et de ses résultats. Le processus itératif de combinaison des méthodes garantit que les diverses perspectives sont saisies et que les résultats sont solides, crédibles et reflètent la nature multidimensionnelle des efforts de consolidation de la paix.</w:t>
      </w:r>
    </w:p>
    <w:p w14:paraId="1123EC87" w14:textId="335B7DED" w:rsidR="00476FA4" w:rsidRPr="008013F5" w:rsidRDefault="008A3D45">
      <w:pPr>
        <w:jc w:val="both"/>
        <w:rPr>
          <w:rFonts w:ascii="Times New Roman" w:hAnsi="Times New Roman" w:cs="Times New Roman"/>
          <w:b/>
          <w:bCs/>
          <w:lang w:val="fr-FR"/>
        </w:rPr>
      </w:pPr>
      <w:r>
        <w:rPr>
          <w:rFonts w:ascii="Times New Roman" w:hAnsi="Times New Roman" w:cs="Times New Roman"/>
          <w:b/>
          <w:bCs/>
          <w:lang w:val="fr-FR"/>
        </w:rPr>
        <w:t>Résultats</w:t>
      </w:r>
      <w:r w:rsidR="007F1DB4" w:rsidRPr="008013F5">
        <w:rPr>
          <w:rFonts w:ascii="Times New Roman" w:hAnsi="Times New Roman" w:cs="Times New Roman"/>
          <w:b/>
          <w:bCs/>
          <w:lang w:val="fr-FR"/>
        </w:rPr>
        <w:t xml:space="preserve"> </w:t>
      </w:r>
      <w:r w:rsidRPr="008013F5">
        <w:rPr>
          <w:rFonts w:ascii="Times New Roman" w:hAnsi="Times New Roman" w:cs="Times New Roman"/>
          <w:b/>
          <w:bCs/>
          <w:lang w:val="fr-FR"/>
        </w:rPr>
        <w:t>exploitables</w:t>
      </w:r>
    </w:p>
    <w:p w14:paraId="2A35A81F" w14:textId="5488D70D" w:rsidR="00476FA4" w:rsidRPr="008013F5" w:rsidRDefault="00BF6F90">
      <w:pPr>
        <w:jc w:val="both"/>
        <w:rPr>
          <w:rFonts w:ascii="Times New Roman" w:hAnsi="Times New Roman" w:cs="Times New Roman"/>
          <w:b/>
          <w:bCs/>
          <w:lang w:val="fr-FR"/>
        </w:rPr>
      </w:pPr>
      <w:r w:rsidRPr="008013F5">
        <w:rPr>
          <w:rFonts w:ascii="Times New Roman" w:hAnsi="Times New Roman" w:cs="Times New Roman"/>
          <w:lang w:val="fr-FR"/>
        </w:rPr>
        <w:t xml:space="preserve">L'évaluation aura pour priorité de produire des </w:t>
      </w:r>
      <w:r w:rsidR="00AC0E3B" w:rsidRPr="008013F5">
        <w:rPr>
          <w:rFonts w:ascii="Times New Roman" w:hAnsi="Times New Roman" w:cs="Times New Roman"/>
          <w:lang w:val="fr-FR"/>
        </w:rPr>
        <w:t xml:space="preserve">résultats </w:t>
      </w:r>
      <w:r w:rsidRPr="008013F5">
        <w:rPr>
          <w:rFonts w:ascii="Times New Roman" w:hAnsi="Times New Roman" w:cs="Times New Roman"/>
          <w:lang w:val="fr-FR"/>
        </w:rPr>
        <w:t xml:space="preserve">exploitables </w:t>
      </w:r>
      <w:r w:rsidR="00AC0E3B" w:rsidRPr="008013F5">
        <w:rPr>
          <w:rFonts w:ascii="Times New Roman" w:hAnsi="Times New Roman" w:cs="Times New Roman"/>
          <w:lang w:val="fr-FR"/>
        </w:rPr>
        <w:t xml:space="preserve">et de </w:t>
      </w:r>
      <w:r w:rsidR="007B4883" w:rsidRPr="008013F5">
        <w:rPr>
          <w:rFonts w:ascii="Times New Roman" w:hAnsi="Times New Roman" w:cs="Times New Roman"/>
          <w:lang w:val="fr-FR"/>
        </w:rPr>
        <w:t xml:space="preserve">formuler </w:t>
      </w:r>
      <w:r w:rsidRPr="008013F5">
        <w:rPr>
          <w:rFonts w:ascii="Times New Roman" w:hAnsi="Times New Roman" w:cs="Times New Roman"/>
          <w:lang w:val="fr-FR"/>
        </w:rPr>
        <w:t xml:space="preserve">des recommandations pour soutenir les adaptations du projet en temps réel. En engageant les parties prenantes - les jeunes, les communautés et les forces de sécurité - par le biais de méthodes participatives, l'évaluation permettra </w:t>
      </w:r>
      <w:r w:rsidR="008A3D45">
        <w:rPr>
          <w:rFonts w:ascii="Times New Roman" w:hAnsi="Times New Roman" w:cs="Times New Roman"/>
          <w:lang w:val="fr-FR"/>
        </w:rPr>
        <w:t>de formuler</w:t>
      </w:r>
      <w:r w:rsidRPr="008013F5">
        <w:rPr>
          <w:rFonts w:ascii="Times New Roman" w:hAnsi="Times New Roman" w:cs="Times New Roman"/>
          <w:lang w:val="fr-FR"/>
        </w:rPr>
        <w:t xml:space="preserve"> des idées pratiques qui alimenteront les améliorations. Cela permet de s'assurer que l'évaluation soutient directement l'apprentissage du projet et les ajustements stratégiques, en particulier pour répondre aux besoins des jeunes à risque et des groupes vulnérables, c</w:t>
      </w:r>
      <w:r w:rsidRPr="008013F5">
        <w:rPr>
          <w:rFonts w:ascii="Times New Roman" w:hAnsi="Times New Roman" w:cs="Times New Roman"/>
          <w:lang w:val="fr-FR"/>
        </w:rPr>
        <w:t>e qui en fait un outil d'amélioration continue plutôt qu'une évaluation rétrospective.</w:t>
      </w:r>
    </w:p>
    <w:p w14:paraId="430F7E9B" w14:textId="77777777" w:rsidR="00773C06" w:rsidRPr="008013F5" w:rsidRDefault="00773C06" w:rsidP="004C3458">
      <w:pPr>
        <w:jc w:val="both"/>
        <w:rPr>
          <w:rFonts w:ascii="Times New Roman" w:hAnsi="Times New Roman" w:cs="Times New Roman"/>
          <w:lang w:val="fr-FR"/>
        </w:rPr>
      </w:pPr>
    </w:p>
    <w:p w14:paraId="677F8620" w14:textId="77777777" w:rsidR="00476FA4" w:rsidRDefault="00BF6F90">
      <w:pPr>
        <w:pStyle w:val="Heading2"/>
        <w:numPr>
          <w:ilvl w:val="0"/>
          <w:numId w:val="10"/>
        </w:numPr>
        <w:rPr>
          <w:rFonts w:ascii="Times New Roman" w:hAnsi="Times New Roman" w:cs="Times New Roman"/>
          <w:b/>
          <w:bCs/>
          <w:sz w:val="25"/>
          <w:szCs w:val="25"/>
          <w:lang w:val="en-GB"/>
        </w:rPr>
      </w:pPr>
      <w:bookmarkStart w:id="14" w:name="_Toc177562447"/>
      <w:bookmarkStart w:id="15" w:name="_Toc177562539"/>
      <w:bookmarkStart w:id="16" w:name="_Toc183474628"/>
      <w:r w:rsidRPr="00C24F16">
        <w:rPr>
          <w:rFonts w:ascii="Times New Roman" w:hAnsi="Times New Roman" w:cs="Times New Roman"/>
          <w:b/>
          <w:bCs/>
          <w:sz w:val="25"/>
          <w:szCs w:val="25"/>
          <w:lang w:val="en-GB"/>
        </w:rPr>
        <w:t>Plan de travail</w:t>
      </w:r>
      <w:bookmarkEnd w:id="14"/>
      <w:bookmarkEnd w:id="15"/>
      <w:bookmarkEnd w:id="16"/>
    </w:p>
    <w:p w14:paraId="224963CD" w14:textId="20AF015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Compte tenu de l'ampleur de cette mission, il est prévu que deux consultants devront collaborer sur cette mission. </w:t>
      </w:r>
      <w:r w:rsidR="00254804" w:rsidRPr="008013F5">
        <w:rPr>
          <w:rFonts w:ascii="Times New Roman" w:hAnsi="Times New Roman" w:cs="Times New Roman"/>
          <w:lang w:val="fr-FR"/>
        </w:rPr>
        <w:t xml:space="preserve">Les jours énumérés ci-dessous peuvent être répartis entre les membres de l'équipe si cela s'avère pertinent. </w:t>
      </w:r>
    </w:p>
    <w:p w14:paraId="748671B5" w14:textId="7777777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Il est prévu que </w:t>
      </w:r>
      <w:r w:rsidR="00733D9A" w:rsidRPr="008013F5">
        <w:rPr>
          <w:rFonts w:ascii="Times New Roman" w:hAnsi="Times New Roman" w:cs="Times New Roman"/>
          <w:lang w:val="fr-FR"/>
        </w:rPr>
        <w:t xml:space="preserve">le consultant principal </w:t>
      </w:r>
      <w:r w:rsidR="00A27239" w:rsidRPr="008013F5">
        <w:rPr>
          <w:rFonts w:ascii="Times New Roman" w:hAnsi="Times New Roman" w:cs="Times New Roman"/>
          <w:lang w:val="fr-FR"/>
        </w:rPr>
        <w:t xml:space="preserve">soit principalement responsable de la </w:t>
      </w:r>
      <w:r w:rsidR="00733D9A" w:rsidRPr="008013F5">
        <w:rPr>
          <w:rFonts w:ascii="Times New Roman" w:hAnsi="Times New Roman" w:cs="Times New Roman"/>
          <w:lang w:val="fr-FR"/>
        </w:rPr>
        <w:t xml:space="preserve">rédaction </w:t>
      </w:r>
      <w:r w:rsidR="00A27239" w:rsidRPr="008013F5">
        <w:rPr>
          <w:rFonts w:ascii="Times New Roman" w:hAnsi="Times New Roman" w:cs="Times New Roman"/>
          <w:lang w:val="fr-FR"/>
        </w:rPr>
        <w:t xml:space="preserve">et de la finalisation </w:t>
      </w:r>
      <w:r w:rsidR="00733D9A" w:rsidRPr="008013F5">
        <w:rPr>
          <w:rFonts w:ascii="Times New Roman" w:hAnsi="Times New Roman" w:cs="Times New Roman"/>
          <w:lang w:val="fr-FR"/>
        </w:rPr>
        <w:t xml:space="preserve">des </w:t>
      </w:r>
      <w:r w:rsidR="00A27239" w:rsidRPr="008013F5">
        <w:rPr>
          <w:rFonts w:ascii="Times New Roman" w:hAnsi="Times New Roman" w:cs="Times New Roman"/>
          <w:lang w:val="fr-FR"/>
        </w:rPr>
        <w:t>résultats</w:t>
      </w:r>
      <w:r w:rsidR="00733D9A" w:rsidRPr="008013F5">
        <w:rPr>
          <w:rFonts w:ascii="Times New Roman" w:hAnsi="Times New Roman" w:cs="Times New Roman"/>
          <w:lang w:val="fr-FR"/>
        </w:rPr>
        <w:t xml:space="preserve">, et que les </w:t>
      </w:r>
      <w:r w:rsidR="00EE5DBE" w:rsidRPr="008013F5">
        <w:rPr>
          <w:rFonts w:ascii="Times New Roman" w:hAnsi="Times New Roman" w:cs="Times New Roman"/>
          <w:lang w:val="fr-FR"/>
        </w:rPr>
        <w:t xml:space="preserve">deux </w:t>
      </w:r>
      <w:r w:rsidR="00A27239" w:rsidRPr="008013F5">
        <w:rPr>
          <w:rFonts w:ascii="Times New Roman" w:hAnsi="Times New Roman" w:cs="Times New Roman"/>
          <w:lang w:val="fr-FR"/>
        </w:rPr>
        <w:t xml:space="preserve">membres de l'équipe </w:t>
      </w:r>
      <w:r w:rsidR="00EE5DBE" w:rsidRPr="008013F5">
        <w:rPr>
          <w:rFonts w:ascii="Times New Roman" w:hAnsi="Times New Roman" w:cs="Times New Roman"/>
          <w:lang w:val="fr-FR"/>
        </w:rPr>
        <w:t xml:space="preserve">entreprennent </w:t>
      </w:r>
      <w:r w:rsidR="00A27239" w:rsidRPr="008013F5">
        <w:rPr>
          <w:rFonts w:ascii="Times New Roman" w:hAnsi="Times New Roman" w:cs="Times New Roman"/>
          <w:lang w:val="fr-FR"/>
        </w:rPr>
        <w:t xml:space="preserve">conjointement </w:t>
      </w:r>
      <w:r w:rsidR="00EE5DBE" w:rsidRPr="008013F5">
        <w:rPr>
          <w:rFonts w:ascii="Times New Roman" w:hAnsi="Times New Roman" w:cs="Times New Roman"/>
          <w:lang w:val="fr-FR"/>
        </w:rPr>
        <w:t xml:space="preserve">la </w:t>
      </w:r>
      <w:r w:rsidR="00A27239" w:rsidRPr="008013F5">
        <w:rPr>
          <w:rFonts w:ascii="Times New Roman" w:hAnsi="Times New Roman" w:cs="Times New Roman"/>
          <w:lang w:val="fr-FR"/>
        </w:rPr>
        <w:t xml:space="preserve">collecte des données, y compris sur le terrain, </w:t>
      </w:r>
      <w:r w:rsidR="00733D9A" w:rsidRPr="008013F5">
        <w:rPr>
          <w:rFonts w:ascii="Times New Roman" w:hAnsi="Times New Roman" w:cs="Times New Roman"/>
          <w:lang w:val="fr-FR"/>
        </w:rPr>
        <w:t>et l'</w:t>
      </w:r>
      <w:r w:rsidR="00A27239" w:rsidRPr="008013F5">
        <w:rPr>
          <w:rFonts w:ascii="Times New Roman" w:hAnsi="Times New Roman" w:cs="Times New Roman"/>
          <w:lang w:val="fr-FR"/>
        </w:rPr>
        <w:t>analyse des données.</w:t>
      </w:r>
    </w:p>
    <w:p w14:paraId="2ED9C8B9" w14:textId="77777777" w:rsidR="00BD439B" w:rsidRPr="008013F5" w:rsidRDefault="00BD439B" w:rsidP="00C23757">
      <w:pPr>
        <w:jc w:val="both"/>
        <w:rPr>
          <w:rFonts w:ascii="Times New Roman" w:hAnsi="Times New Roman" w:cs="Times New Roman"/>
          <w:lang w:val="fr-FR"/>
        </w:rPr>
      </w:pPr>
    </w:p>
    <w:tbl>
      <w:tblPr>
        <w:tblW w:w="10065" w:type="dxa"/>
        <w:tblInd w:w="-577" w:type="dxa"/>
        <w:tblCellMar>
          <w:left w:w="0" w:type="dxa"/>
          <w:right w:w="0" w:type="dxa"/>
        </w:tblCellMar>
        <w:tblLook w:val="04A0" w:firstRow="1" w:lastRow="0" w:firstColumn="1" w:lastColumn="0" w:noHBand="0" w:noVBand="1"/>
      </w:tblPr>
      <w:tblGrid>
        <w:gridCol w:w="1963"/>
        <w:gridCol w:w="1299"/>
        <w:gridCol w:w="1969"/>
        <w:gridCol w:w="2740"/>
        <w:gridCol w:w="2094"/>
      </w:tblGrid>
      <w:tr w:rsidR="00C23757" w:rsidRPr="00C24F16" w14:paraId="07C43AAB" w14:textId="7E1D2F69" w:rsidTr="00C23757">
        <w:trPr>
          <w:trHeight w:val="57"/>
        </w:trPr>
        <w:tc>
          <w:tcPr>
            <w:tcW w:w="2003" w:type="dxa"/>
            <w:tcBorders>
              <w:top w:val="single" w:sz="8" w:space="0" w:color="auto"/>
              <w:left w:val="single" w:sz="8" w:space="0" w:color="auto"/>
              <w:bottom w:val="single" w:sz="8" w:space="0" w:color="auto"/>
              <w:right w:val="single" w:sz="8" w:space="0" w:color="auto"/>
            </w:tcBorders>
            <w:shd w:val="clear" w:color="auto" w:fill="F6C5AC"/>
            <w:tcMar>
              <w:top w:w="0" w:type="dxa"/>
              <w:left w:w="108" w:type="dxa"/>
              <w:bottom w:w="0" w:type="dxa"/>
              <w:right w:w="108" w:type="dxa"/>
            </w:tcMar>
            <w:vAlign w:val="center"/>
            <w:hideMark/>
          </w:tcPr>
          <w:p w14:paraId="64C51C78" w14:textId="77777777" w:rsidR="00476FA4" w:rsidRDefault="00BF6F90">
            <w:pPr>
              <w:spacing w:after="0" w:line="240" w:lineRule="auto"/>
              <w:jc w:val="center"/>
              <w:rPr>
                <w:rFonts w:ascii="Times New Roman" w:eastAsia="Times New Roman" w:hAnsi="Times New Roman" w:cs="Times New Roman"/>
                <w:b/>
                <w:bCs/>
                <w:color w:val="000000"/>
                <w:kern w:val="0"/>
                <w:lang w:val="en-GB" w:eastAsia="en-GB"/>
                <w14:ligatures w14:val="none"/>
              </w:rPr>
            </w:pPr>
            <w:r w:rsidRPr="00C24F16">
              <w:rPr>
                <w:rFonts w:ascii="Times New Roman" w:eastAsia="Times New Roman" w:hAnsi="Times New Roman" w:cs="Times New Roman"/>
                <w:b/>
                <w:bCs/>
                <w:color w:val="000000"/>
                <w:kern w:val="0"/>
                <w:lang w:val="en-GB" w:eastAsia="en-GB"/>
                <w14:ligatures w14:val="none"/>
              </w:rPr>
              <w:t>Étape</w:t>
            </w:r>
          </w:p>
        </w:tc>
        <w:tc>
          <w:tcPr>
            <w:tcW w:w="869" w:type="dxa"/>
            <w:tcBorders>
              <w:top w:val="single" w:sz="8" w:space="0" w:color="auto"/>
              <w:left w:val="nil"/>
              <w:bottom w:val="single" w:sz="8" w:space="0" w:color="auto"/>
              <w:right w:val="single" w:sz="4" w:space="0" w:color="auto"/>
            </w:tcBorders>
            <w:shd w:val="clear" w:color="auto" w:fill="F6C5AC"/>
            <w:vAlign w:val="center"/>
          </w:tcPr>
          <w:p w14:paraId="78E22133" w14:textId="77777777" w:rsidR="00476FA4" w:rsidRPr="008013F5" w:rsidRDefault="00BF6F90">
            <w:pPr>
              <w:spacing w:after="0" w:line="240" w:lineRule="auto"/>
              <w:jc w:val="center"/>
              <w:rPr>
                <w:rFonts w:ascii="Times New Roman" w:eastAsia="Times New Roman" w:hAnsi="Times New Roman" w:cs="Times New Roman"/>
                <w:b/>
                <w:bCs/>
                <w:color w:val="000000"/>
                <w:kern w:val="0"/>
                <w:lang w:val="fr-FR" w:eastAsia="en-GB"/>
                <w14:ligatures w14:val="none"/>
              </w:rPr>
            </w:pPr>
            <w:r w:rsidRPr="008013F5">
              <w:rPr>
                <w:rFonts w:ascii="Times New Roman" w:eastAsia="Times New Roman" w:hAnsi="Times New Roman" w:cs="Times New Roman"/>
                <w:b/>
                <w:bCs/>
                <w:color w:val="000000"/>
                <w:kern w:val="0"/>
                <w:lang w:val="fr-FR" w:eastAsia="en-GB"/>
                <w14:ligatures w14:val="none"/>
              </w:rPr>
              <w:t>Nombre de jours de travail (y compris les déplacements)</w:t>
            </w:r>
          </w:p>
        </w:tc>
        <w:tc>
          <w:tcPr>
            <w:tcW w:w="2069" w:type="dxa"/>
            <w:tcBorders>
              <w:top w:val="single" w:sz="8" w:space="0" w:color="auto"/>
              <w:left w:val="single" w:sz="4" w:space="0" w:color="auto"/>
              <w:bottom w:val="single" w:sz="8" w:space="0" w:color="auto"/>
              <w:right w:val="single" w:sz="4" w:space="0" w:color="auto"/>
            </w:tcBorders>
            <w:shd w:val="clear" w:color="auto" w:fill="F6C5AC"/>
            <w:tcMar>
              <w:top w:w="0" w:type="dxa"/>
              <w:left w:w="108" w:type="dxa"/>
              <w:bottom w:w="0" w:type="dxa"/>
              <w:right w:w="108" w:type="dxa"/>
            </w:tcMar>
            <w:vAlign w:val="center"/>
            <w:hideMark/>
          </w:tcPr>
          <w:p w14:paraId="16209A2A" w14:textId="77777777" w:rsidR="00476FA4" w:rsidRDefault="00BF6F90">
            <w:pPr>
              <w:spacing w:after="0" w:line="240" w:lineRule="auto"/>
              <w:jc w:val="center"/>
              <w:rPr>
                <w:rFonts w:ascii="Times New Roman" w:eastAsia="Times New Roman" w:hAnsi="Times New Roman" w:cs="Times New Roman"/>
                <w:b/>
                <w:bCs/>
                <w:color w:val="000000"/>
                <w:kern w:val="0"/>
                <w:lang w:val="en-GB" w:eastAsia="en-GB"/>
                <w14:ligatures w14:val="none"/>
              </w:rPr>
            </w:pPr>
            <w:proofErr w:type="spellStart"/>
            <w:r w:rsidRPr="00C24F16">
              <w:rPr>
                <w:rFonts w:ascii="Times New Roman" w:eastAsia="Times New Roman" w:hAnsi="Times New Roman" w:cs="Times New Roman"/>
                <w:b/>
                <w:bCs/>
                <w:color w:val="000000"/>
                <w:kern w:val="0"/>
                <w:lang w:val="en-GB" w:eastAsia="en-GB"/>
                <w14:ligatures w14:val="none"/>
              </w:rPr>
              <w:t>Chronologie</w:t>
            </w:r>
            <w:proofErr w:type="spellEnd"/>
          </w:p>
        </w:tc>
        <w:tc>
          <w:tcPr>
            <w:tcW w:w="2928" w:type="dxa"/>
            <w:tcBorders>
              <w:top w:val="single" w:sz="8" w:space="0" w:color="auto"/>
              <w:left w:val="single" w:sz="4" w:space="0" w:color="auto"/>
              <w:bottom w:val="single" w:sz="8" w:space="0" w:color="auto"/>
              <w:right w:val="single" w:sz="8" w:space="0" w:color="auto"/>
            </w:tcBorders>
            <w:shd w:val="clear" w:color="auto" w:fill="F6C5AC"/>
            <w:tcMar>
              <w:top w:w="0" w:type="dxa"/>
              <w:left w:w="108" w:type="dxa"/>
              <w:bottom w:w="0" w:type="dxa"/>
              <w:right w:w="108" w:type="dxa"/>
            </w:tcMar>
            <w:vAlign w:val="center"/>
            <w:hideMark/>
          </w:tcPr>
          <w:p w14:paraId="7BC701AA" w14:textId="77777777" w:rsidR="00476FA4" w:rsidRDefault="00BF6F90">
            <w:pPr>
              <w:spacing w:after="0" w:line="240" w:lineRule="auto"/>
              <w:jc w:val="center"/>
              <w:rPr>
                <w:rFonts w:ascii="Times New Roman" w:eastAsia="Times New Roman" w:hAnsi="Times New Roman" w:cs="Times New Roman"/>
                <w:b/>
                <w:bCs/>
                <w:color w:val="000000"/>
                <w:kern w:val="0"/>
                <w:lang w:val="en-GB" w:eastAsia="en-GB"/>
                <w14:ligatures w14:val="none"/>
              </w:rPr>
            </w:pPr>
            <w:r w:rsidRPr="00C24F16">
              <w:rPr>
                <w:rFonts w:ascii="Times New Roman" w:eastAsia="Times New Roman" w:hAnsi="Times New Roman" w:cs="Times New Roman"/>
                <w:b/>
                <w:bCs/>
                <w:color w:val="000000"/>
                <w:kern w:val="0"/>
                <w:lang w:val="en-GB" w:eastAsia="en-GB"/>
                <w14:ligatures w14:val="none"/>
              </w:rPr>
              <w:t>Responsabilité</w:t>
            </w:r>
          </w:p>
        </w:tc>
        <w:tc>
          <w:tcPr>
            <w:tcW w:w="2196" w:type="dxa"/>
            <w:tcBorders>
              <w:top w:val="single" w:sz="8" w:space="0" w:color="auto"/>
              <w:left w:val="single" w:sz="4" w:space="0" w:color="auto"/>
              <w:bottom w:val="single" w:sz="8" w:space="0" w:color="auto"/>
              <w:right w:val="single" w:sz="8" w:space="0" w:color="auto"/>
            </w:tcBorders>
            <w:shd w:val="clear" w:color="auto" w:fill="F6C5AC"/>
            <w:vAlign w:val="center"/>
          </w:tcPr>
          <w:p w14:paraId="1C97D0BE" w14:textId="77777777" w:rsidR="00476FA4" w:rsidRDefault="00BF6F90">
            <w:pPr>
              <w:spacing w:after="0" w:line="240" w:lineRule="auto"/>
              <w:jc w:val="center"/>
              <w:rPr>
                <w:rFonts w:ascii="Times New Roman" w:eastAsia="Times New Roman" w:hAnsi="Times New Roman" w:cs="Times New Roman"/>
                <w:b/>
                <w:bCs/>
                <w:color w:val="000000"/>
                <w:kern w:val="0"/>
                <w:lang w:val="fr-FR" w:eastAsia="en-GB"/>
                <w14:ligatures w14:val="none"/>
              </w:rPr>
            </w:pPr>
            <w:r w:rsidRPr="00C24F16">
              <w:rPr>
                <w:rFonts w:ascii="Times New Roman" w:eastAsia="Times New Roman" w:hAnsi="Times New Roman" w:cs="Times New Roman"/>
                <w:b/>
                <w:bCs/>
                <w:color w:val="000000"/>
                <w:kern w:val="0"/>
                <w:lang w:val="en-GB" w:eastAsia="en-GB"/>
                <w14:ligatures w14:val="none"/>
              </w:rPr>
              <w:t>Produit livrable</w:t>
            </w:r>
          </w:p>
        </w:tc>
      </w:tr>
      <w:tr w:rsidR="00210851" w:rsidRPr="00C24F16" w14:paraId="5760ED8F" w14:textId="0F7B1527"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FD7C7" w14:textId="77777777" w:rsidR="00476FA4" w:rsidRPr="008013F5" w:rsidRDefault="00BF6F90">
            <w:pPr>
              <w:spacing w:after="0" w:line="240" w:lineRule="auto"/>
              <w:rPr>
                <w:rFonts w:ascii="Times New Roman" w:eastAsia="Times New Roman" w:hAnsi="Times New Roman" w:cs="Times New Roman"/>
                <w:i/>
                <w:iCs/>
                <w:color w:val="212121"/>
                <w:kern w:val="0"/>
                <w:lang w:val="fr-FR" w:eastAsia="en-GB"/>
                <w14:ligatures w14:val="none"/>
              </w:rPr>
            </w:pPr>
            <w:r w:rsidRPr="008013F5">
              <w:rPr>
                <w:rFonts w:ascii="Times New Roman" w:eastAsia="Times New Roman" w:hAnsi="Times New Roman" w:cs="Times New Roman"/>
                <w:i/>
                <w:iCs/>
                <w:color w:val="212121"/>
                <w:kern w:val="0"/>
                <w:lang w:val="fr-FR" w:eastAsia="en-GB"/>
                <w14:ligatures w14:val="none"/>
              </w:rPr>
              <w:t xml:space="preserve">Procédure d'appel d'offres et de sélection </w:t>
            </w:r>
          </w:p>
        </w:tc>
        <w:tc>
          <w:tcPr>
            <w:tcW w:w="869" w:type="dxa"/>
            <w:tcBorders>
              <w:top w:val="nil"/>
              <w:left w:val="nil"/>
              <w:bottom w:val="single" w:sz="8" w:space="0" w:color="auto"/>
              <w:right w:val="single" w:sz="4" w:space="0" w:color="auto"/>
            </w:tcBorders>
            <w:vAlign w:val="center"/>
          </w:tcPr>
          <w:p w14:paraId="68B2BEA1" w14:textId="77777777" w:rsidR="00210851" w:rsidRPr="008013F5" w:rsidDel="00686006" w:rsidRDefault="00210851" w:rsidP="00562648">
            <w:pPr>
              <w:spacing w:after="0" w:line="240" w:lineRule="auto"/>
              <w:rPr>
                <w:rFonts w:ascii="Times New Roman" w:eastAsia="Times New Roman" w:hAnsi="Times New Roman" w:cs="Times New Roman"/>
                <w:i/>
                <w:iCs/>
                <w:color w:val="212121"/>
                <w:kern w:val="0"/>
                <w:lang w:val="fr-FR" w:eastAsia="en-GB"/>
                <w14:ligatures w14:val="none"/>
              </w:rPr>
            </w:pP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51759D19" w14:textId="77777777" w:rsidR="00476FA4" w:rsidRDefault="00BF6F90">
            <w:pPr>
              <w:spacing w:after="0" w:line="240" w:lineRule="auto"/>
              <w:rPr>
                <w:rFonts w:ascii="Times New Roman" w:eastAsia="Times New Roman" w:hAnsi="Times New Roman" w:cs="Times New Roman"/>
                <w:i/>
                <w:iCs/>
                <w:color w:val="212121"/>
                <w:kern w:val="0"/>
                <w:lang w:val="en-GB" w:eastAsia="en-GB"/>
                <w14:ligatures w14:val="none"/>
              </w:rPr>
            </w:pPr>
            <w:proofErr w:type="spellStart"/>
            <w:r w:rsidRPr="00C24F16">
              <w:rPr>
                <w:rFonts w:ascii="Times New Roman" w:eastAsia="Times New Roman" w:hAnsi="Times New Roman" w:cs="Times New Roman"/>
                <w:i/>
                <w:iCs/>
                <w:color w:val="212121"/>
                <w:kern w:val="0"/>
                <w:lang w:val="en-GB" w:eastAsia="en-GB"/>
                <w14:ligatures w14:val="none"/>
              </w:rPr>
              <w:t>Jusqu'au</w:t>
            </w:r>
            <w:proofErr w:type="spellEnd"/>
            <w:r w:rsidRPr="00C24F16">
              <w:rPr>
                <w:rFonts w:ascii="Times New Roman" w:eastAsia="Times New Roman" w:hAnsi="Times New Roman" w:cs="Times New Roman"/>
                <w:i/>
                <w:iCs/>
                <w:color w:val="212121"/>
                <w:kern w:val="0"/>
                <w:lang w:val="en-GB" w:eastAsia="en-GB"/>
                <w14:ligatures w14:val="none"/>
              </w:rPr>
              <w:t xml:space="preserve"> 08</w:t>
            </w:r>
            <w:r w:rsidR="00A16636" w:rsidRPr="00C24F16">
              <w:rPr>
                <w:rFonts w:ascii="Times New Roman" w:eastAsia="Times New Roman" w:hAnsi="Times New Roman" w:cs="Times New Roman"/>
                <w:i/>
                <w:iCs/>
                <w:color w:val="212121"/>
                <w:kern w:val="0"/>
                <w:lang w:val="en-GB" w:eastAsia="en-GB"/>
                <w14:ligatures w14:val="none"/>
              </w:rPr>
              <w:t xml:space="preserve"> </w:t>
            </w:r>
            <w:proofErr w:type="spellStart"/>
            <w:r w:rsidR="00A16636" w:rsidRPr="00C24F16">
              <w:rPr>
                <w:rFonts w:ascii="Times New Roman" w:eastAsia="Times New Roman" w:hAnsi="Times New Roman" w:cs="Times New Roman"/>
                <w:i/>
                <w:iCs/>
                <w:color w:val="212121"/>
                <w:kern w:val="0"/>
                <w:lang w:val="en-GB" w:eastAsia="en-GB"/>
                <w14:ligatures w14:val="none"/>
              </w:rPr>
              <w:t>janvier</w:t>
            </w:r>
            <w:proofErr w:type="spellEnd"/>
            <w:r w:rsidR="00A16636" w:rsidRPr="00C24F16">
              <w:rPr>
                <w:rFonts w:ascii="Times New Roman" w:eastAsia="Times New Roman" w:hAnsi="Times New Roman" w:cs="Times New Roman"/>
                <w:i/>
                <w:iCs/>
                <w:color w:val="212121"/>
                <w:kern w:val="0"/>
                <w:lang w:val="en-GB" w:eastAsia="en-GB"/>
                <w14:ligatures w14:val="none"/>
              </w:rPr>
              <w:t xml:space="preserve"> </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8189D94" w14:textId="77777777" w:rsidR="00476FA4" w:rsidRDefault="00BF6F90">
            <w:pPr>
              <w:spacing w:after="0" w:line="240" w:lineRule="auto"/>
              <w:rPr>
                <w:rFonts w:ascii="Times New Roman" w:eastAsia="Times New Roman" w:hAnsi="Times New Roman" w:cs="Times New Roman"/>
                <w:i/>
                <w:iCs/>
                <w:color w:val="212121"/>
                <w:kern w:val="0"/>
                <w:lang w:val="en-GB" w:eastAsia="en-GB"/>
                <w14:ligatures w14:val="none"/>
              </w:rPr>
            </w:pPr>
            <w:r w:rsidRPr="00C24F16">
              <w:rPr>
                <w:rFonts w:ascii="Times New Roman" w:eastAsia="Times New Roman" w:hAnsi="Times New Roman" w:cs="Times New Roman"/>
                <w:i/>
                <w:iCs/>
                <w:color w:val="212121"/>
                <w:kern w:val="0"/>
                <w:lang w:val="en-GB" w:eastAsia="en-GB"/>
                <w14:ligatures w14:val="none"/>
              </w:rPr>
              <w:t>Responsable de l'évaluation</w:t>
            </w:r>
          </w:p>
        </w:tc>
        <w:tc>
          <w:tcPr>
            <w:tcW w:w="2196" w:type="dxa"/>
            <w:tcBorders>
              <w:top w:val="nil"/>
              <w:left w:val="single" w:sz="4" w:space="0" w:color="auto"/>
              <w:bottom w:val="single" w:sz="8" w:space="0" w:color="auto"/>
              <w:right w:val="single" w:sz="8" w:space="0" w:color="auto"/>
            </w:tcBorders>
            <w:vAlign w:val="center"/>
          </w:tcPr>
          <w:p w14:paraId="7FE733C2" w14:textId="77777777" w:rsidR="00210851" w:rsidRPr="00C24F16" w:rsidRDefault="00210851" w:rsidP="00562648">
            <w:pPr>
              <w:spacing w:after="0" w:line="240" w:lineRule="auto"/>
              <w:rPr>
                <w:rFonts w:ascii="Times New Roman" w:eastAsia="Times New Roman" w:hAnsi="Times New Roman" w:cs="Times New Roman"/>
                <w:i/>
                <w:iCs/>
                <w:color w:val="212121"/>
                <w:kern w:val="0"/>
                <w:lang w:val="en-GB" w:eastAsia="en-GB"/>
                <w14:ligatures w14:val="none"/>
              </w:rPr>
            </w:pPr>
          </w:p>
        </w:tc>
      </w:tr>
      <w:tr w:rsidR="00210851" w:rsidRPr="00C24F16" w14:paraId="40F4CFEF" w14:textId="31E5A5F5"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1F3E8"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Signature du contrat</w:t>
            </w:r>
          </w:p>
        </w:tc>
        <w:tc>
          <w:tcPr>
            <w:tcW w:w="869" w:type="dxa"/>
            <w:tcBorders>
              <w:top w:val="nil"/>
              <w:left w:val="nil"/>
              <w:bottom w:val="single" w:sz="8" w:space="0" w:color="auto"/>
              <w:right w:val="single" w:sz="4" w:space="0" w:color="auto"/>
            </w:tcBorders>
            <w:vAlign w:val="center"/>
          </w:tcPr>
          <w:p w14:paraId="51BBD6D3" w14:textId="77777777" w:rsidR="00210851" w:rsidRPr="00C24F16" w:rsidDel="00686006" w:rsidRDefault="00210851" w:rsidP="00562648">
            <w:pPr>
              <w:spacing w:after="0" w:line="240" w:lineRule="auto"/>
              <w:rPr>
                <w:rFonts w:ascii="Times New Roman" w:eastAsia="Times New Roman" w:hAnsi="Times New Roman" w:cs="Times New Roman"/>
                <w:color w:val="212121"/>
                <w:kern w:val="0"/>
                <w:lang w:val="en-GB" w:eastAsia="en-GB"/>
                <w14:ligatures w14:val="none"/>
              </w:rPr>
            </w:pP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FD6ED82" w14:textId="73BC7118" w:rsidR="00476FA4" w:rsidRDefault="00B440C1">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US" w:eastAsia="en-GB"/>
                <w14:ligatures w14:val="none"/>
              </w:rPr>
              <w:t xml:space="preserve">Avant le </w:t>
            </w:r>
            <w:r w:rsidRPr="00C24F16">
              <w:rPr>
                <w:rFonts w:ascii="Times New Roman" w:eastAsia="Times New Roman" w:hAnsi="Times New Roman" w:cs="Times New Roman"/>
                <w:color w:val="212121"/>
                <w:kern w:val="0"/>
                <w:lang w:val="en-GB" w:eastAsia="en-GB"/>
                <w14:ligatures w14:val="none"/>
              </w:rPr>
              <w:t xml:space="preserve">10 </w:t>
            </w:r>
            <w:proofErr w:type="spellStart"/>
            <w:r w:rsidR="00A16636" w:rsidRPr="00C24F16">
              <w:rPr>
                <w:rFonts w:ascii="Times New Roman" w:eastAsia="Times New Roman" w:hAnsi="Times New Roman" w:cs="Times New Roman"/>
                <w:color w:val="212121"/>
                <w:kern w:val="0"/>
                <w:lang w:val="en-GB" w:eastAsia="en-GB"/>
                <w14:ligatures w14:val="none"/>
              </w:rPr>
              <w:t>janvier</w:t>
            </w:r>
            <w:proofErr w:type="spellEnd"/>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3629973" w14:textId="7D36995A" w:rsidR="00476FA4" w:rsidRDefault="00B440C1">
            <w:pPr>
              <w:spacing w:after="0" w:line="240" w:lineRule="auto"/>
              <w:rPr>
                <w:rFonts w:ascii="Times New Roman" w:eastAsia="Times New Roman" w:hAnsi="Times New Roman" w:cs="Times New Roman"/>
                <w:color w:val="212121"/>
                <w:kern w:val="0"/>
                <w:lang w:val="en-GB" w:eastAsia="en-GB"/>
                <w14:ligatures w14:val="none"/>
              </w:rPr>
            </w:pPr>
            <w:r>
              <w:rPr>
                <w:rFonts w:ascii="Times New Roman" w:eastAsia="Times New Roman" w:hAnsi="Times New Roman" w:cs="Times New Roman"/>
                <w:color w:val="212121"/>
                <w:kern w:val="0"/>
                <w:lang w:val="en-GB" w:eastAsia="en-GB"/>
                <w14:ligatures w14:val="none"/>
              </w:rPr>
              <w:t>International Alert</w:t>
            </w:r>
            <w:r w:rsidRPr="00C24F16">
              <w:rPr>
                <w:rFonts w:ascii="Times New Roman" w:eastAsia="Times New Roman" w:hAnsi="Times New Roman" w:cs="Times New Roman"/>
                <w:color w:val="212121"/>
                <w:kern w:val="0"/>
                <w:lang w:val="en-GB" w:eastAsia="en-GB"/>
                <w14:ligatures w14:val="none"/>
              </w:rPr>
              <w:t xml:space="preserve"> </w:t>
            </w:r>
          </w:p>
          <w:p w14:paraId="18A5A8F8"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 xml:space="preserve">Évaluateurs externes </w:t>
            </w:r>
          </w:p>
        </w:tc>
        <w:tc>
          <w:tcPr>
            <w:tcW w:w="2196" w:type="dxa"/>
            <w:tcBorders>
              <w:top w:val="nil"/>
              <w:left w:val="single" w:sz="4" w:space="0" w:color="auto"/>
              <w:bottom w:val="single" w:sz="8" w:space="0" w:color="auto"/>
              <w:right w:val="single" w:sz="8" w:space="0" w:color="auto"/>
            </w:tcBorders>
            <w:vAlign w:val="center"/>
          </w:tcPr>
          <w:p w14:paraId="521C7A59" w14:textId="77777777" w:rsidR="00210851" w:rsidRPr="00C24F16" w:rsidRDefault="00210851" w:rsidP="00562648">
            <w:pPr>
              <w:spacing w:after="0" w:line="240" w:lineRule="auto"/>
              <w:rPr>
                <w:rFonts w:ascii="Times New Roman" w:eastAsia="Times New Roman" w:hAnsi="Times New Roman" w:cs="Times New Roman"/>
                <w:color w:val="212121"/>
                <w:kern w:val="0"/>
                <w:lang w:val="en-GB" w:eastAsia="en-GB"/>
                <w14:ligatures w14:val="none"/>
              </w:rPr>
            </w:pPr>
          </w:p>
        </w:tc>
      </w:tr>
      <w:tr w:rsidR="00210851" w:rsidRPr="00C24F16" w14:paraId="067D0281" w14:textId="1165308C" w:rsidTr="00C23757">
        <w:trPr>
          <w:trHeight w:val="57"/>
        </w:trPr>
        <w:tc>
          <w:tcPr>
            <w:tcW w:w="10065" w:type="dxa"/>
            <w:gridSpan w:val="5"/>
            <w:tcBorders>
              <w:top w:val="nil"/>
              <w:left w:val="single" w:sz="8" w:space="0" w:color="auto"/>
              <w:bottom w:val="single" w:sz="8" w:space="0" w:color="auto"/>
              <w:right w:val="single" w:sz="4" w:space="0" w:color="auto"/>
            </w:tcBorders>
            <w:shd w:val="clear" w:color="auto" w:fill="E8E8E8" w:themeFill="background2"/>
            <w:vAlign w:val="center"/>
          </w:tcPr>
          <w:p w14:paraId="265003EB" w14:textId="77777777" w:rsidR="00476FA4" w:rsidRDefault="00BF6F90">
            <w:pPr>
              <w:spacing w:after="0" w:line="240" w:lineRule="auto"/>
              <w:jc w:val="center"/>
              <w:rPr>
                <w:rFonts w:ascii="Times New Roman" w:eastAsia="Times New Roman" w:hAnsi="Times New Roman" w:cs="Times New Roman"/>
                <w:b/>
                <w:bCs/>
                <w:color w:val="212121"/>
                <w:kern w:val="0"/>
                <w:lang w:val="en-US" w:eastAsia="en-GB"/>
                <w14:ligatures w14:val="none"/>
              </w:rPr>
            </w:pPr>
            <w:r w:rsidRPr="00C24F16">
              <w:rPr>
                <w:rFonts w:ascii="Times New Roman" w:eastAsia="Times New Roman" w:hAnsi="Times New Roman" w:cs="Times New Roman"/>
                <w:b/>
                <w:bCs/>
                <w:color w:val="212121"/>
                <w:kern w:val="0"/>
                <w:lang w:val="en-US" w:eastAsia="en-GB"/>
                <w14:ligatures w14:val="none"/>
              </w:rPr>
              <w:t>INCEPTION</w:t>
            </w:r>
          </w:p>
          <w:p w14:paraId="66B30F55" w14:textId="77777777" w:rsidR="00476FA4" w:rsidRDefault="00BF6F90">
            <w:pPr>
              <w:spacing w:after="0" w:line="240" w:lineRule="auto"/>
              <w:jc w:val="center"/>
              <w:rPr>
                <w:rFonts w:ascii="Times New Roman" w:eastAsia="Times New Roman" w:hAnsi="Times New Roman" w:cs="Times New Roman"/>
                <w:b/>
                <w:bCs/>
                <w:color w:val="212121"/>
                <w:kern w:val="0"/>
                <w:lang w:val="en-US" w:eastAsia="en-GB"/>
                <w14:ligatures w14:val="none"/>
              </w:rPr>
            </w:pPr>
            <w:r w:rsidRPr="00C24F16">
              <w:rPr>
                <w:rFonts w:ascii="Times New Roman" w:eastAsia="Times New Roman" w:hAnsi="Times New Roman" w:cs="Times New Roman"/>
                <w:b/>
                <w:bCs/>
                <w:color w:val="212121"/>
                <w:kern w:val="0"/>
                <w:lang w:val="en-US" w:eastAsia="en-GB"/>
                <w14:ligatures w14:val="none"/>
              </w:rPr>
              <w:t>12 jours au total</w:t>
            </w:r>
          </w:p>
        </w:tc>
      </w:tr>
      <w:tr w:rsidR="00210851" w:rsidRPr="00C24F16" w14:paraId="1D6B3336" w14:textId="1438EFD1"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01C39" w14:textId="77777777" w:rsidR="00476FA4" w:rsidRDefault="00BF6F90">
            <w:pPr>
              <w:spacing w:after="0" w:line="240" w:lineRule="auto"/>
              <w:rPr>
                <w:rFonts w:ascii="Times New Roman" w:eastAsia="Times New Roman" w:hAnsi="Times New Roman" w:cs="Times New Roman"/>
                <w:color w:val="212121"/>
                <w:kern w:val="0"/>
                <w:lang w:eastAsia="en-GB"/>
                <w14:ligatures w14:val="none"/>
              </w:rPr>
            </w:pPr>
            <w:r w:rsidRPr="00C24F16">
              <w:rPr>
                <w:rFonts w:ascii="Times New Roman" w:eastAsia="Times New Roman" w:hAnsi="Times New Roman" w:cs="Times New Roman"/>
                <w:color w:val="212121"/>
                <w:kern w:val="0"/>
                <w:lang w:val="en-US" w:eastAsia="en-GB"/>
                <w14:ligatures w14:val="none"/>
              </w:rPr>
              <w:t>Réunion de lancement</w:t>
            </w:r>
          </w:p>
        </w:tc>
        <w:tc>
          <w:tcPr>
            <w:tcW w:w="869" w:type="dxa"/>
            <w:tcBorders>
              <w:top w:val="nil"/>
              <w:left w:val="nil"/>
              <w:bottom w:val="single" w:sz="8" w:space="0" w:color="auto"/>
              <w:right w:val="single" w:sz="4" w:space="0" w:color="auto"/>
            </w:tcBorders>
            <w:vAlign w:val="center"/>
          </w:tcPr>
          <w:p w14:paraId="4827A992" w14:textId="77777777" w:rsidR="00476FA4" w:rsidRDefault="00BF6F90">
            <w:pPr>
              <w:spacing w:after="0" w:line="240" w:lineRule="auto"/>
              <w:jc w:val="center"/>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1 jour</w:t>
            </w:r>
          </w:p>
          <w:p w14:paraId="76191198" w14:textId="68A303AE" w:rsidR="00210851" w:rsidRPr="00C24F16" w:rsidRDefault="00210851" w:rsidP="00C23757">
            <w:pPr>
              <w:spacing w:after="0" w:line="240" w:lineRule="auto"/>
              <w:jc w:val="center"/>
              <w:rPr>
                <w:rFonts w:ascii="Times New Roman" w:eastAsia="Times New Roman" w:hAnsi="Times New Roman" w:cs="Times New Roman"/>
                <w:color w:val="212121"/>
                <w:kern w:val="0"/>
                <w:lang w:val="en-US" w:eastAsia="en-GB"/>
                <w14:ligatures w14:val="none"/>
              </w:rPr>
            </w:pP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4A1316A" w14:textId="08F49C32" w:rsidR="00476FA4" w:rsidRDefault="00B440C1">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 xml:space="preserve">Avant le </w:t>
            </w:r>
            <w:r w:rsidR="00210851" w:rsidRPr="00C24F16">
              <w:rPr>
                <w:rFonts w:ascii="Times New Roman" w:eastAsia="Times New Roman" w:hAnsi="Times New Roman" w:cs="Times New Roman"/>
                <w:color w:val="212121"/>
                <w:kern w:val="0"/>
                <w:lang w:val="en-US" w:eastAsia="en-GB"/>
                <w14:ligatures w14:val="none"/>
              </w:rPr>
              <w:t>17</w:t>
            </w:r>
            <w:r w:rsidRPr="00C24F16">
              <w:rPr>
                <w:rFonts w:ascii="Times New Roman" w:eastAsia="Times New Roman" w:hAnsi="Times New Roman" w:cs="Times New Roman"/>
                <w:color w:val="212121"/>
                <w:kern w:val="0"/>
                <w:lang w:val="en-US" w:eastAsia="en-GB"/>
                <w14:ligatures w14:val="none"/>
              </w:rPr>
              <w:t xml:space="preserve"> </w:t>
            </w:r>
            <w:proofErr w:type="spellStart"/>
            <w:r w:rsidRPr="00C24F16">
              <w:rPr>
                <w:rFonts w:ascii="Times New Roman" w:eastAsia="Times New Roman" w:hAnsi="Times New Roman" w:cs="Times New Roman"/>
                <w:color w:val="212121"/>
                <w:kern w:val="0"/>
                <w:lang w:val="en-US" w:eastAsia="en-GB"/>
                <w14:ligatures w14:val="none"/>
              </w:rPr>
              <w:t>janvier</w:t>
            </w:r>
            <w:proofErr w:type="spellEnd"/>
            <w:r w:rsidRPr="00C24F16">
              <w:rPr>
                <w:rFonts w:ascii="Times New Roman" w:eastAsia="Times New Roman" w:hAnsi="Times New Roman" w:cs="Times New Roman"/>
                <w:color w:val="212121"/>
                <w:kern w:val="0"/>
                <w:lang w:val="en-US" w:eastAsia="en-GB"/>
                <w14:ligatures w14:val="none"/>
              </w:rPr>
              <w:t xml:space="preserve"> </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6F16E26" w14:textId="77777777" w:rsidR="00476FA4" w:rsidRPr="008013F5" w:rsidRDefault="00BF6F90">
            <w:pPr>
              <w:spacing w:after="0" w:line="240" w:lineRule="auto"/>
              <w:rPr>
                <w:rFonts w:ascii="Times New Roman" w:eastAsia="Times New Roman" w:hAnsi="Times New Roman" w:cs="Times New Roman"/>
                <w:color w:val="212121"/>
                <w:kern w:val="0"/>
                <w:lang w:val="fr-FR" w:eastAsia="en-GB"/>
                <w14:ligatures w14:val="none"/>
              </w:rPr>
            </w:pPr>
            <w:r w:rsidRPr="008013F5">
              <w:rPr>
                <w:rFonts w:ascii="Times New Roman" w:eastAsia="Times New Roman" w:hAnsi="Times New Roman" w:cs="Times New Roman"/>
                <w:color w:val="212121"/>
                <w:kern w:val="0"/>
                <w:lang w:val="fr-FR" w:eastAsia="en-GB"/>
                <w14:ligatures w14:val="none"/>
              </w:rPr>
              <w:t xml:space="preserve">Évaluateurs externes International Alert </w:t>
            </w:r>
          </w:p>
          <w:p w14:paraId="171B7BF4" w14:textId="77777777" w:rsidR="00476FA4" w:rsidRDefault="00BF6F90">
            <w:pPr>
              <w:spacing w:after="0" w:line="240" w:lineRule="auto"/>
              <w:rPr>
                <w:rFonts w:ascii="Times New Roman" w:eastAsia="Times New Roman" w:hAnsi="Times New Roman" w:cs="Times New Roman"/>
                <w:color w:val="212121"/>
                <w:kern w:val="0"/>
                <w:lang w:eastAsia="en-GB"/>
                <w14:ligatures w14:val="none"/>
              </w:rPr>
            </w:pPr>
            <w:r w:rsidRPr="008013F5">
              <w:rPr>
                <w:rFonts w:ascii="Times New Roman" w:eastAsia="Times New Roman" w:hAnsi="Times New Roman" w:cs="Times New Roman"/>
                <w:color w:val="212121"/>
                <w:kern w:val="0"/>
                <w:lang w:val="fr-FR" w:eastAsia="en-GB"/>
                <w14:ligatures w14:val="none"/>
              </w:rPr>
              <w:t>ADA</w:t>
            </w:r>
          </w:p>
        </w:tc>
        <w:tc>
          <w:tcPr>
            <w:tcW w:w="2196" w:type="dxa"/>
            <w:tcBorders>
              <w:top w:val="nil"/>
              <w:left w:val="single" w:sz="4" w:space="0" w:color="auto"/>
              <w:bottom w:val="single" w:sz="8" w:space="0" w:color="auto"/>
              <w:right w:val="single" w:sz="8" w:space="0" w:color="auto"/>
            </w:tcBorders>
            <w:vAlign w:val="center"/>
          </w:tcPr>
          <w:p w14:paraId="6754E97C" w14:textId="77777777" w:rsidR="00210851" w:rsidRPr="008013F5" w:rsidRDefault="00210851" w:rsidP="00562648">
            <w:pPr>
              <w:spacing w:after="0" w:line="240" w:lineRule="auto"/>
              <w:rPr>
                <w:rFonts w:ascii="Times New Roman" w:eastAsia="Times New Roman" w:hAnsi="Times New Roman" w:cs="Times New Roman"/>
                <w:color w:val="212121"/>
                <w:kern w:val="0"/>
                <w:lang w:val="fr-FR" w:eastAsia="en-GB"/>
                <w14:ligatures w14:val="none"/>
              </w:rPr>
            </w:pPr>
          </w:p>
        </w:tc>
      </w:tr>
      <w:tr w:rsidR="00210851" w:rsidRPr="00C24F16" w14:paraId="407D6E75" w14:textId="44C25BD8"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6EF272" w14:textId="16F21A8B" w:rsidR="00476FA4" w:rsidRDefault="000005F7">
            <w:pPr>
              <w:spacing w:after="0" w:line="240" w:lineRule="auto"/>
              <w:rPr>
                <w:rFonts w:ascii="Times New Roman" w:eastAsia="Times New Roman" w:hAnsi="Times New Roman" w:cs="Times New Roman"/>
                <w:color w:val="212121"/>
                <w:kern w:val="0"/>
                <w:lang w:eastAsia="en-GB"/>
                <w14:ligatures w14:val="none"/>
              </w:rPr>
            </w:pPr>
            <w:r>
              <w:rPr>
                <w:rFonts w:ascii="Times New Roman" w:eastAsia="Times New Roman" w:hAnsi="Times New Roman" w:cs="Times New Roman"/>
                <w:color w:val="212121"/>
                <w:kern w:val="0"/>
                <w:lang w:val="fr-FR" w:eastAsia="en-GB"/>
                <w14:ligatures w14:val="none"/>
              </w:rPr>
              <w:t>Première version du rapport</w:t>
            </w:r>
            <w:r w:rsidRPr="008013F5">
              <w:rPr>
                <w:rFonts w:ascii="Times New Roman" w:eastAsia="Times New Roman" w:hAnsi="Times New Roman" w:cs="Times New Roman"/>
                <w:color w:val="212121"/>
                <w:kern w:val="0"/>
                <w:lang w:val="fr-FR" w:eastAsia="en-GB"/>
                <w14:ligatures w14:val="none"/>
              </w:rPr>
              <w:t xml:space="preserve"> de démarrage</w:t>
            </w:r>
          </w:p>
        </w:tc>
        <w:tc>
          <w:tcPr>
            <w:tcW w:w="869" w:type="dxa"/>
            <w:tcBorders>
              <w:top w:val="nil"/>
              <w:left w:val="nil"/>
              <w:bottom w:val="single" w:sz="8" w:space="0" w:color="auto"/>
              <w:right w:val="single" w:sz="4" w:space="0" w:color="auto"/>
            </w:tcBorders>
            <w:vAlign w:val="center"/>
          </w:tcPr>
          <w:p w14:paraId="7F57B8BB" w14:textId="77777777" w:rsidR="00476FA4" w:rsidRDefault="00BF6F90">
            <w:pPr>
              <w:spacing w:after="0" w:line="240" w:lineRule="auto"/>
              <w:jc w:val="center"/>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8 jours</w:t>
            </w: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356DC69"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 xml:space="preserve">Avant le </w:t>
            </w:r>
            <w:r w:rsidR="00210851" w:rsidRPr="00C24F16">
              <w:rPr>
                <w:rFonts w:ascii="Times New Roman" w:eastAsia="Times New Roman" w:hAnsi="Times New Roman" w:cs="Times New Roman"/>
                <w:color w:val="212121"/>
                <w:kern w:val="0"/>
                <w:lang w:val="en-US" w:eastAsia="en-GB"/>
                <w14:ligatures w14:val="none"/>
              </w:rPr>
              <w:t>31</w:t>
            </w:r>
            <w:r w:rsidRPr="00C24F16">
              <w:rPr>
                <w:rFonts w:ascii="Times New Roman" w:eastAsia="Times New Roman" w:hAnsi="Times New Roman" w:cs="Times New Roman"/>
                <w:color w:val="212121"/>
                <w:kern w:val="0"/>
                <w:lang w:val="en-US" w:eastAsia="en-GB"/>
                <w14:ligatures w14:val="none"/>
              </w:rPr>
              <w:t xml:space="preserve"> janvier </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652995D" w14:textId="77777777" w:rsidR="00476FA4" w:rsidRDefault="00BF6F90">
            <w:pPr>
              <w:spacing w:after="0" w:line="240" w:lineRule="auto"/>
              <w:rPr>
                <w:rFonts w:ascii="Times New Roman" w:eastAsia="Times New Roman" w:hAnsi="Times New Roman" w:cs="Times New Roman"/>
                <w:color w:val="212121"/>
                <w:kern w:val="0"/>
                <w:lang w:eastAsia="en-GB"/>
                <w14:ligatures w14:val="none"/>
              </w:rPr>
            </w:pPr>
            <w:r w:rsidRPr="00C24F16">
              <w:rPr>
                <w:rFonts w:ascii="Times New Roman" w:eastAsia="Times New Roman" w:hAnsi="Times New Roman" w:cs="Times New Roman"/>
                <w:color w:val="212121"/>
                <w:kern w:val="0"/>
                <w:lang w:val="en-US" w:eastAsia="en-GB"/>
                <w14:ligatures w14:val="none"/>
              </w:rPr>
              <w:t xml:space="preserve">Évaluateurs externes </w:t>
            </w:r>
          </w:p>
        </w:tc>
        <w:tc>
          <w:tcPr>
            <w:tcW w:w="2196" w:type="dxa"/>
            <w:tcBorders>
              <w:top w:val="nil"/>
              <w:left w:val="single" w:sz="4" w:space="0" w:color="auto"/>
              <w:bottom w:val="single" w:sz="8" w:space="0" w:color="auto"/>
              <w:right w:val="single" w:sz="8" w:space="0" w:color="auto"/>
            </w:tcBorders>
            <w:vAlign w:val="center"/>
          </w:tcPr>
          <w:p w14:paraId="79D249DE" w14:textId="77777777" w:rsidR="00476FA4" w:rsidRDefault="00BF6F90">
            <w:pPr>
              <w:spacing w:after="0"/>
              <w:rPr>
                <w:rFonts w:ascii="Times New Roman" w:hAnsi="Times New Roman" w:cs="Times New Roman"/>
                <w:lang w:val="en-GB" w:eastAsia="en-GB"/>
              </w:rPr>
            </w:pPr>
            <w:r w:rsidRPr="00C24F16">
              <w:rPr>
                <w:rFonts w:ascii="Times New Roman" w:hAnsi="Times New Roman" w:cs="Times New Roman"/>
                <w:lang w:val="en-GB" w:eastAsia="en-GB"/>
              </w:rPr>
              <w:t>Projet de rapport initial</w:t>
            </w:r>
          </w:p>
        </w:tc>
      </w:tr>
      <w:tr w:rsidR="00210851" w:rsidRPr="00C24F16" w14:paraId="743339F9" w14:textId="0F23B953"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68B5A0" w14:textId="55CBA3F3" w:rsidR="00476FA4" w:rsidRDefault="000005F7">
            <w:pPr>
              <w:spacing w:after="0" w:line="240" w:lineRule="auto"/>
              <w:rPr>
                <w:rFonts w:ascii="Times New Roman" w:eastAsia="Times New Roman" w:hAnsi="Times New Roman" w:cs="Times New Roman"/>
                <w:i/>
                <w:iCs/>
                <w:color w:val="212121"/>
                <w:kern w:val="0"/>
                <w:lang w:val="en-US" w:eastAsia="en-GB"/>
                <w14:ligatures w14:val="none"/>
              </w:rPr>
            </w:pPr>
            <w:proofErr w:type="spellStart"/>
            <w:r>
              <w:rPr>
                <w:rFonts w:ascii="Times New Roman" w:eastAsia="Times New Roman" w:hAnsi="Times New Roman" w:cs="Times New Roman"/>
                <w:i/>
                <w:iCs/>
                <w:color w:val="212121"/>
                <w:kern w:val="0"/>
                <w:lang w:val="en-US" w:eastAsia="en-GB"/>
                <w14:ligatures w14:val="none"/>
              </w:rPr>
              <w:t>Révision</w:t>
            </w:r>
            <w:proofErr w:type="spellEnd"/>
            <w:r w:rsidRPr="00C24F16">
              <w:rPr>
                <w:rFonts w:ascii="Times New Roman" w:eastAsia="Times New Roman" w:hAnsi="Times New Roman" w:cs="Times New Roman"/>
                <w:i/>
                <w:iCs/>
                <w:color w:val="212121"/>
                <w:kern w:val="0"/>
                <w:lang w:val="en-US" w:eastAsia="en-GB"/>
                <w14:ligatures w14:val="none"/>
              </w:rPr>
              <w:t xml:space="preserve"> du rapport initial</w:t>
            </w:r>
          </w:p>
        </w:tc>
        <w:tc>
          <w:tcPr>
            <w:tcW w:w="869" w:type="dxa"/>
            <w:tcBorders>
              <w:top w:val="nil"/>
              <w:left w:val="nil"/>
              <w:bottom w:val="single" w:sz="8" w:space="0" w:color="auto"/>
              <w:right w:val="single" w:sz="4" w:space="0" w:color="auto"/>
            </w:tcBorders>
            <w:vAlign w:val="center"/>
          </w:tcPr>
          <w:p w14:paraId="57753A56" w14:textId="77777777" w:rsidR="00210851" w:rsidRPr="00C24F16" w:rsidDel="003A61E3" w:rsidRDefault="00210851" w:rsidP="00C23757">
            <w:pPr>
              <w:spacing w:after="0" w:line="240" w:lineRule="auto"/>
              <w:jc w:val="center"/>
              <w:rPr>
                <w:rFonts w:ascii="Times New Roman" w:eastAsia="Times New Roman" w:hAnsi="Times New Roman" w:cs="Times New Roman"/>
                <w:i/>
                <w:iCs/>
                <w:color w:val="212121"/>
                <w:kern w:val="0"/>
                <w:lang w:val="en-US" w:eastAsia="en-GB"/>
                <w14:ligatures w14:val="none"/>
              </w:rPr>
            </w:pP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330C64DC" w14:textId="77777777" w:rsidR="00476FA4" w:rsidRDefault="00BF6F90">
            <w:pPr>
              <w:spacing w:after="0" w:line="240" w:lineRule="auto"/>
              <w:rPr>
                <w:rFonts w:ascii="Times New Roman" w:eastAsia="Times New Roman" w:hAnsi="Times New Roman" w:cs="Times New Roman"/>
                <w:i/>
                <w:iCs/>
                <w:color w:val="212121"/>
                <w:kern w:val="0"/>
                <w:lang w:val="en-US" w:eastAsia="en-GB"/>
                <w14:ligatures w14:val="none"/>
              </w:rPr>
            </w:pPr>
            <w:r w:rsidRPr="00C24F16">
              <w:rPr>
                <w:rFonts w:ascii="Times New Roman" w:eastAsia="Times New Roman" w:hAnsi="Times New Roman" w:cs="Times New Roman"/>
                <w:i/>
                <w:iCs/>
                <w:color w:val="212121"/>
                <w:kern w:val="0"/>
                <w:lang w:val="en-US" w:eastAsia="en-GB"/>
                <w14:ligatures w14:val="none"/>
              </w:rPr>
              <w:t xml:space="preserve">Avant le </w:t>
            </w:r>
            <w:r w:rsidR="00A5708E" w:rsidRPr="00C24F16">
              <w:rPr>
                <w:rFonts w:ascii="Times New Roman" w:eastAsia="Times New Roman" w:hAnsi="Times New Roman" w:cs="Times New Roman"/>
                <w:i/>
                <w:iCs/>
                <w:color w:val="212121"/>
                <w:kern w:val="0"/>
                <w:lang w:val="en-US" w:eastAsia="en-GB"/>
                <w14:ligatures w14:val="none"/>
              </w:rPr>
              <w:t xml:space="preserve">14 </w:t>
            </w:r>
            <w:r w:rsidR="005B5386" w:rsidRPr="00C24F16">
              <w:rPr>
                <w:rFonts w:ascii="Times New Roman" w:eastAsia="Times New Roman" w:hAnsi="Times New Roman" w:cs="Times New Roman"/>
                <w:i/>
                <w:iCs/>
                <w:color w:val="212121"/>
                <w:kern w:val="0"/>
                <w:lang w:val="en-US" w:eastAsia="en-GB"/>
                <w14:ligatures w14:val="none"/>
              </w:rPr>
              <w:t>février</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D862C6D" w14:textId="77777777" w:rsidR="00476FA4" w:rsidRDefault="00BF6F90">
            <w:pPr>
              <w:spacing w:after="0" w:line="240" w:lineRule="auto"/>
              <w:rPr>
                <w:rFonts w:ascii="Times New Roman" w:eastAsia="Times New Roman" w:hAnsi="Times New Roman" w:cs="Times New Roman"/>
                <w:i/>
                <w:iCs/>
                <w:color w:val="212121"/>
                <w:kern w:val="0"/>
                <w:lang w:val="en-US" w:eastAsia="en-GB"/>
                <w14:ligatures w14:val="none"/>
              </w:rPr>
            </w:pPr>
            <w:r w:rsidRPr="00C24F16">
              <w:rPr>
                <w:rFonts w:ascii="Times New Roman" w:eastAsia="Times New Roman" w:hAnsi="Times New Roman" w:cs="Times New Roman"/>
                <w:i/>
                <w:iCs/>
                <w:color w:val="212121"/>
                <w:kern w:val="0"/>
                <w:lang w:val="en-US" w:eastAsia="en-GB"/>
                <w14:ligatures w14:val="none"/>
              </w:rPr>
              <w:t xml:space="preserve">Responsable de l'évaluation </w:t>
            </w:r>
          </w:p>
          <w:p w14:paraId="1F635001" w14:textId="77777777" w:rsidR="00476FA4" w:rsidRDefault="00BF6F90">
            <w:pPr>
              <w:spacing w:after="0" w:line="240" w:lineRule="auto"/>
              <w:rPr>
                <w:rFonts w:ascii="Times New Roman" w:eastAsia="Times New Roman" w:hAnsi="Times New Roman" w:cs="Times New Roman"/>
                <w:i/>
                <w:iCs/>
                <w:color w:val="212121"/>
                <w:kern w:val="0"/>
                <w:lang w:val="en-US" w:eastAsia="en-GB"/>
                <w14:ligatures w14:val="none"/>
              </w:rPr>
            </w:pPr>
            <w:r w:rsidRPr="00C24F16">
              <w:rPr>
                <w:rFonts w:ascii="Times New Roman" w:eastAsia="Times New Roman" w:hAnsi="Times New Roman" w:cs="Times New Roman"/>
                <w:i/>
                <w:iCs/>
                <w:color w:val="212121"/>
                <w:kern w:val="0"/>
                <w:lang w:val="en-US" w:eastAsia="en-GB"/>
                <w14:ligatures w14:val="none"/>
              </w:rPr>
              <w:t>ADA</w:t>
            </w:r>
          </w:p>
        </w:tc>
        <w:tc>
          <w:tcPr>
            <w:tcW w:w="2196" w:type="dxa"/>
            <w:tcBorders>
              <w:top w:val="nil"/>
              <w:left w:val="single" w:sz="4" w:space="0" w:color="auto"/>
              <w:bottom w:val="single" w:sz="8" w:space="0" w:color="auto"/>
              <w:right w:val="single" w:sz="8" w:space="0" w:color="auto"/>
            </w:tcBorders>
            <w:vAlign w:val="center"/>
          </w:tcPr>
          <w:p w14:paraId="68896F1B" w14:textId="77777777" w:rsidR="00210851" w:rsidRPr="00C24F16" w:rsidRDefault="00210851" w:rsidP="00562648">
            <w:pPr>
              <w:spacing w:after="0" w:line="240" w:lineRule="auto"/>
              <w:rPr>
                <w:rFonts w:ascii="Times New Roman" w:eastAsia="Times New Roman" w:hAnsi="Times New Roman" w:cs="Times New Roman"/>
                <w:i/>
                <w:iCs/>
                <w:color w:val="212121"/>
                <w:kern w:val="0"/>
                <w:lang w:val="en-US" w:eastAsia="en-GB"/>
                <w14:ligatures w14:val="none"/>
              </w:rPr>
            </w:pPr>
          </w:p>
        </w:tc>
      </w:tr>
      <w:tr w:rsidR="00210851" w:rsidRPr="00C24F16" w14:paraId="493E15C4" w14:textId="243ABBA7"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00FA53" w14:textId="77777777" w:rsidR="00476FA4" w:rsidRPr="008013F5" w:rsidRDefault="00BF6F90">
            <w:pPr>
              <w:spacing w:after="0" w:line="240" w:lineRule="auto"/>
              <w:rPr>
                <w:rFonts w:ascii="Times New Roman" w:eastAsia="Times New Roman" w:hAnsi="Times New Roman" w:cs="Times New Roman"/>
                <w:color w:val="212121"/>
                <w:kern w:val="0"/>
                <w:lang w:val="fr-FR" w:eastAsia="en-GB"/>
                <w14:ligatures w14:val="none"/>
              </w:rPr>
            </w:pPr>
            <w:r w:rsidRPr="008013F5">
              <w:rPr>
                <w:rFonts w:ascii="Times New Roman" w:eastAsia="Times New Roman" w:hAnsi="Times New Roman" w:cs="Times New Roman"/>
                <w:color w:val="212121"/>
                <w:kern w:val="0"/>
                <w:lang w:val="fr-FR" w:eastAsia="en-GB"/>
                <w14:ligatures w14:val="none"/>
              </w:rPr>
              <w:t>Finalisation du rapport de démarrage</w:t>
            </w:r>
          </w:p>
        </w:tc>
        <w:tc>
          <w:tcPr>
            <w:tcW w:w="869" w:type="dxa"/>
            <w:tcBorders>
              <w:top w:val="nil"/>
              <w:left w:val="nil"/>
              <w:bottom w:val="single" w:sz="8" w:space="0" w:color="auto"/>
              <w:right w:val="single" w:sz="4" w:space="0" w:color="auto"/>
            </w:tcBorders>
            <w:vAlign w:val="center"/>
          </w:tcPr>
          <w:p w14:paraId="00901254" w14:textId="77777777" w:rsidR="00476FA4" w:rsidRDefault="00BF6F90">
            <w:pPr>
              <w:spacing w:after="0" w:line="240" w:lineRule="auto"/>
              <w:jc w:val="center"/>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 xml:space="preserve">3 </w:t>
            </w:r>
            <w:proofErr w:type="spellStart"/>
            <w:r w:rsidRPr="00C24F16">
              <w:rPr>
                <w:rFonts w:ascii="Times New Roman" w:eastAsia="Times New Roman" w:hAnsi="Times New Roman" w:cs="Times New Roman"/>
                <w:color w:val="212121"/>
                <w:kern w:val="0"/>
                <w:lang w:val="en-US" w:eastAsia="en-GB"/>
                <w14:ligatures w14:val="none"/>
              </w:rPr>
              <w:t>jours</w:t>
            </w:r>
            <w:proofErr w:type="spellEnd"/>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321BE1A1" w14:textId="693867B6" w:rsidR="00476FA4" w:rsidRDefault="00B440C1">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 xml:space="preserve">Avant le </w:t>
            </w:r>
            <w:r w:rsidR="00A5708E" w:rsidRPr="00C24F16">
              <w:rPr>
                <w:rFonts w:ascii="Times New Roman" w:eastAsia="Times New Roman" w:hAnsi="Times New Roman" w:cs="Times New Roman"/>
                <w:color w:val="212121"/>
                <w:kern w:val="0"/>
                <w:lang w:val="en-US" w:eastAsia="en-GB"/>
                <w14:ligatures w14:val="none"/>
              </w:rPr>
              <w:t xml:space="preserve">21 </w:t>
            </w:r>
            <w:proofErr w:type="spellStart"/>
            <w:r w:rsidRPr="00C24F16">
              <w:rPr>
                <w:rFonts w:ascii="Times New Roman" w:eastAsia="Times New Roman" w:hAnsi="Times New Roman" w:cs="Times New Roman"/>
                <w:color w:val="212121"/>
                <w:kern w:val="0"/>
                <w:lang w:val="en-US" w:eastAsia="en-GB"/>
                <w14:ligatures w14:val="none"/>
              </w:rPr>
              <w:t>février</w:t>
            </w:r>
            <w:proofErr w:type="spellEnd"/>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2ABB168"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Évaluateurs externes</w:t>
            </w:r>
          </w:p>
        </w:tc>
        <w:tc>
          <w:tcPr>
            <w:tcW w:w="2196" w:type="dxa"/>
            <w:tcBorders>
              <w:top w:val="nil"/>
              <w:left w:val="single" w:sz="4" w:space="0" w:color="auto"/>
              <w:bottom w:val="single" w:sz="8" w:space="0" w:color="auto"/>
              <w:right w:val="single" w:sz="8" w:space="0" w:color="auto"/>
            </w:tcBorders>
            <w:vAlign w:val="center"/>
          </w:tcPr>
          <w:p w14:paraId="3FC1D8E8" w14:textId="77777777" w:rsidR="00476FA4" w:rsidRDefault="00BF6F90">
            <w:pPr>
              <w:spacing w:after="0"/>
              <w:rPr>
                <w:rFonts w:ascii="Times New Roman" w:hAnsi="Times New Roman" w:cs="Times New Roman"/>
                <w:lang w:val="en-GB" w:eastAsia="en-GB"/>
              </w:rPr>
            </w:pPr>
            <w:r w:rsidRPr="00C24F16">
              <w:rPr>
                <w:rFonts w:ascii="Times New Roman" w:hAnsi="Times New Roman" w:cs="Times New Roman"/>
                <w:lang w:val="en-GB" w:eastAsia="en-GB"/>
              </w:rPr>
              <w:t xml:space="preserve">Rapport final de démarrage </w:t>
            </w:r>
          </w:p>
        </w:tc>
      </w:tr>
      <w:tr w:rsidR="00210851" w:rsidRPr="00C24F16" w14:paraId="1403C0E7" w14:textId="66107DC8" w:rsidTr="00C23757">
        <w:trPr>
          <w:trHeight w:val="57"/>
        </w:trPr>
        <w:tc>
          <w:tcPr>
            <w:tcW w:w="10065" w:type="dxa"/>
            <w:gridSpan w:val="5"/>
            <w:tcBorders>
              <w:top w:val="nil"/>
              <w:left w:val="single" w:sz="8" w:space="0" w:color="auto"/>
              <w:bottom w:val="single" w:sz="8" w:space="0" w:color="auto"/>
              <w:right w:val="single" w:sz="4" w:space="0" w:color="auto"/>
            </w:tcBorders>
            <w:shd w:val="clear" w:color="auto" w:fill="E8E8E8" w:themeFill="background2"/>
            <w:vAlign w:val="center"/>
          </w:tcPr>
          <w:p w14:paraId="0AAB1094" w14:textId="77777777" w:rsidR="00476FA4" w:rsidRPr="008013F5" w:rsidRDefault="00BF6F90">
            <w:pPr>
              <w:spacing w:after="0" w:line="240" w:lineRule="auto"/>
              <w:jc w:val="center"/>
              <w:rPr>
                <w:rFonts w:ascii="Times New Roman" w:eastAsia="Times New Roman" w:hAnsi="Times New Roman" w:cs="Times New Roman"/>
                <w:b/>
                <w:bCs/>
                <w:color w:val="212121"/>
                <w:kern w:val="0"/>
                <w:lang w:val="fr-FR" w:eastAsia="en-GB"/>
                <w14:ligatures w14:val="none"/>
              </w:rPr>
            </w:pPr>
            <w:r w:rsidRPr="008013F5">
              <w:rPr>
                <w:rFonts w:ascii="Times New Roman" w:eastAsia="Times New Roman" w:hAnsi="Times New Roman" w:cs="Times New Roman"/>
                <w:b/>
                <w:bCs/>
                <w:color w:val="212121"/>
                <w:kern w:val="0"/>
                <w:lang w:val="fr-FR" w:eastAsia="en-GB"/>
                <w14:ligatures w14:val="none"/>
              </w:rPr>
              <w:t>LA COLLECTE ET L'ANALYSE DES DONNÉES</w:t>
            </w:r>
          </w:p>
          <w:p w14:paraId="5FA7BE81" w14:textId="77777777" w:rsidR="00476FA4" w:rsidRDefault="00BF6F90">
            <w:pPr>
              <w:spacing w:after="0" w:line="240" w:lineRule="auto"/>
              <w:jc w:val="center"/>
              <w:rPr>
                <w:rFonts w:ascii="Times New Roman" w:eastAsia="Times New Roman" w:hAnsi="Times New Roman" w:cs="Times New Roman"/>
                <w:b/>
                <w:bCs/>
                <w:color w:val="212121"/>
                <w:kern w:val="0"/>
                <w:lang w:val="en-US" w:eastAsia="en-GB"/>
                <w14:ligatures w14:val="none"/>
              </w:rPr>
            </w:pPr>
            <w:r w:rsidRPr="00C24F16">
              <w:rPr>
                <w:rFonts w:ascii="Times New Roman" w:eastAsia="Times New Roman" w:hAnsi="Times New Roman" w:cs="Times New Roman"/>
                <w:b/>
                <w:bCs/>
                <w:color w:val="212121"/>
                <w:kern w:val="0"/>
                <w:lang w:val="en-GB" w:eastAsia="en-GB"/>
                <w14:ligatures w14:val="none"/>
              </w:rPr>
              <w:t xml:space="preserve">31 </w:t>
            </w:r>
            <w:proofErr w:type="spellStart"/>
            <w:r w:rsidRPr="00C24F16">
              <w:rPr>
                <w:rFonts w:ascii="Times New Roman" w:eastAsia="Times New Roman" w:hAnsi="Times New Roman" w:cs="Times New Roman"/>
                <w:b/>
                <w:bCs/>
                <w:color w:val="212121"/>
                <w:kern w:val="0"/>
                <w:lang w:val="en-GB" w:eastAsia="en-GB"/>
                <w14:ligatures w14:val="none"/>
              </w:rPr>
              <w:t>jours</w:t>
            </w:r>
            <w:proofErr w:type="spellEnd"/>
            <w:r w:rsidRPr="00C24F16">
              <w:rPr>
                <w:rFonts w:ascii="Times New Roman" w:eastAsia="Times New Roman" w:hAnsi="Times New Roman" w:cs="Times New Roman"/>
                <w:b/>
                <w:bCs/>
                <w:color w:val="212121"/>
                <w:kern w:val="0"/>
                <w:lang w:val="en-GB" w:eastAsia="en-GB"/>
                <w14:ligatures w14:val="none"/>
              </w:rPr>
              <w:t xml:space="preserve"> </w:t>
            </w:r>
          </w:p>
        </w:tc>
      </w:tr>
      <w:tr w:rsidR="00210851" w:rsidRPr="00C24F16" w14:paraId="4A90417E" w14:textId="77777777"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4324E"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Revue de bureau</w:t>
            </w:r>
          </w:p>
        </w:tc>
        <w:tc>
          <w:tcPr>
            <w:tcW w:w="869" w:type="dxa"/>
            <w:tcBorders>
              <w:top w:val="nil"/>
              <w:left w:val="nil"/>
              <w:bottom w:val="single" w:sz="8" w:space="0" w:color="auto"/>
              <w:right w:val="single" w:sz="4" w:space="0" w:color="auto"/>
            </w:tcBorders>
            <w:vAlign w:val="center"/>
          </w:tcPr>
          <w:p w14:paraId="704AB333" w14:textId="77777777" w:rsidR="00476FA4" w:rsidRDefault="00BF6F90">
            <w:pPr>
              <w:spacing w:after="0" w:line="240" w:lineRule="auto"/>
              <w:jc w:val="center"/>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1,5 jour</w:t>
            </w: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7CC995B3"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 xml:space="preserve">Avant le </w:t>
            </w:r>
            <w:r w:rsidR="00A5708E" w:rsidRPr="00C24F16">
              <w:rPr>
                <w:rFonts w:ascii="Times New Roman" w:eastAsia="Times New Roman" w:hAnsi="Times New Roman" w:cs="Times New Roman"/>
                <w:color w:val="212121"/>
                <w:kern w:val="0"/>
                <w:lang w:val="en-US" w:eastAsia="en-GB"/>
                <w14:ligatures w14:val="none"/>
              </w:rPr>
              <w:t xml:space="preserve">28 </w:t>
            </w:r>
            <w:r w:rsidR="00210851" w:rsidRPr="00C24F16">
              <w:rPr>
                <w:rFonts w:ascii="Times New Roman" w:eastAsia="Times New Roman" w:hAnsi="Times New Roman" w:cs="Times New Roman"/>
                <w:color w:val="212121"/>
                <w:kern w:val="0"/>
                <w:lang w:val="en-US" w:eastAsia="en-GB"/>
                <w14:ligatures w14:val="none"/>
              </w:rPr>
              <w:t>février</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C80DCB3"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Évaluateurs externes</w:t>
            </w:r>
          </w:p>
        </w:tc>
        <w:tc>
          <w:tcPr>
            <w:tcW w:w="2196" w:type="dxa"/>
            <w:tcBorders>
              <w:top w:val="nil"/>
              <w:left w:val="single" w:sz="4" w:space="0" w:color="auto"/>
              <w:bottom w:val="single" w:sz="8" w:space="0" w:color="auto"/>
              <w:right w:val="single" w:sz="8" w:space="0" w:color="auto"/>
            </w:tcBorders>
            <w:vAlign w:val="center"/>
          </w:tcPr>
          <w:p w14:paraId="0496FDDE" w14:textId="77777777" w:rsidR="00210851" w:rsidRPr="00C24F16" w:rsidRDefault="00210851" w:rsidP="00562648">
            <w:pPr>
              <w:spacing w:after="0" w:line="240" w:lineRule="auto"/>
              <w:rPr>
                <w:rFonts w:ascii="Times New Roman" w:eastAsia="Times New Roman" w:hAnsi="Times New Roman" w:cs="Times New Roman"/>
                <w:color w:val="212121"/>
                <w:kern w:val="0"/>
                <w:lang w:val="en-US" w:eastAsia="en-GB"/>
                <w14:ligatures w14:val="none"/>
              </w:rPr>
            </w:pPr>
          </w:p>
        </w:tc>
      </w:tr>
      <w:tr w:rsidR="00210851" w:rsidRPr="00C24F16" w14:paraId="41F30D60" w14:textId="77777777"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9FB5CA"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Entretiens d'équipe</w:t>
            </w:r>
          </w:p>
        </w:tc>
        <w:tc>
          <w:tcPr>
            <w:tcW w:w="869" w:type="dxa"/>
            <w:tcBorders>
              <w:top w:val="nil"/>
              <w:left w:val="nil"/>
              <w:bottom w:val="single" w:sz="8" w:space="0" w:color="auto"/>
              <w:right w:val="single" w:sz="4" w:space="0" w:color="auto"/>
            </w:tcBorders>
            <w:vAlign w:val="center"/>
          </w:tcPr>
          <w:p w14:paraId="480DDC66" w14:textId="77777777" w:rsidR="00476FA4" w:rsidRDefault="00BF6F90">
            <w:pPr>
              <w:spacing w:after="0" w:line="240" w:lineRule="auto"/>
              <w:jc w:val="center"/>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1,5 jour</w:t>
            </w: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56CD22F9"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 xml:space="preserve">Avant le </w:t>
            </w:r>
            <w:r w:rsidR="00A5708E" w:rsidRPr="00C24F16">
              <w:rPr>
                <w:rFonts w:ascii="Times New Roman" w:eastAsia="Times New Roman" w:hAnsi="Times New Roman" w:cs="Times New Roman"/>
                <w:color w:val="212121"/>
                <w:kern w:val="0"/>
                <w:lang w:val="en-US" w:eastAsia="en-GB"/>
                <w14:ligatures w14:val="none"/>
              </w:rPr>
              <w:t xml:space="preserve">28 </w:t>
            </w:r>
            <w:r w:rsidR="00210851" w:rsidRPr="00C24F16">
              <w:rPr>
                <w:rFonts w:ascii="Times New Roman" w:eastAsia="Times New Roman" w:hAnsi="Times New Roman" w:cs="Times New Roman"/>
                <w:color w:val="212121"/>
                <w:kern w:val="0"/>
                <w:lang w:val="en-US" w:eastAsia="en-GB"/>
                <w14:ligatures w14:val="none"/>
              </w:rPr>
              <w:t>février</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6C39635"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Évaluateurs externes</w:t>
            </w:r>
          </w:p>
        </w:tc>
        <w:tc>
          <w:tcPr>
            <w:tcW w:w="2196" w:type="dxa"/>
            <w:tcBorders>
              <w:top w:val="nil"/>
              <w:left w:val="single" w:sz="4" w:space="0" w:color="auto"/>
              <w:bottom w:val="single" w:sz="8" w:space="0" w:color="auto"/>
              <w:right w:val="single" w:sz="8" w:space="0" w:color="auto"/>
            </w:tcBorders>
            <w:vAlign w:val="center"/>
          </w:tcPr>
          <w:p w14:paraId="6409DC3E" w14:textId="77777777" w:rsidR="00210851" w:rsidRPr="00C24F16" w:rsidRDefault="00210851" w:rsidP="00562648">
            <w:pPr>
              <w:spacing w:after="0" w:line="240" w:lineRule="auto"/>
              <w:rPr>
                <w:rFonts w:ascii="Times New Roman" w:eastAsia="Times New Roman" w:hAnsi="Times New Roman" w:cs="Times New Roman"/>
                <w:color w:val="212121"/>
                <w:kern w:val="0"/>
                <w:lang w:val="en-US" w:eastAsia="en-GB"/>
                <w14:ligatures w14:val="none"/>
              </w:rPr>
            </w:pPr>
          </w:p>
        </w:tc>
      </w:tr>
      <w:tr w:rsidR="00210851" w:rsidRPr="00C24F16" w14:paraId="18897C13" w14:textId="77777777"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662A5F"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 xml:space="preserve">Visite de Mopti </w:t>
            </w:r>
          </w:p>
          <w:p w14:paraId="3274646A" w14:textId="77777777" w:rsidR="00476FA4" w:rsidRDefault="00BF6F90">
            <w:pPr>
              <w:pStyle w:val="ListParagraph"/>
              <w:numPr>
                <w:ilvl w:val="0"/>
                <w:numId w:val="14"/>
              </w:num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FGDs</w:t>
            </w:r>
          </w:p>
          <w:p w14:paraId="363D118C" w14:textId="77777777" w:rsidR="00476FA4" w:rsidRDefault="00BF6F90">
            <w:pPr>
              <w:pStyle w:val="ListParagraph"/>
              <w:numPr>
                <w:ilvl w:val="0"/>
                <w:numId w:val="14"/>
              </w:num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KIIs</w:t>
            </w:r>
          </w:p>
        </w:tc>
        <w:tc>
          <w:tcPr>
            <w:tcW w:w="869" w:type="dxa"/>
            <w:tcBorders>
              <w:top w:val="nil"/>
              <w:left w:val="nil"/>
              <w:bottom w:val="single" w:sz="8" w:space="0" w:color="auto"/>
              <w:right w:val="single" w:sz="4" w:space="0" w:color="auto"/>
            </w:tcBorders>
            <w:vAlign w:val="center"/>
          </w:tcPr>
          <w:p w14:paraId="5FD6F5EF" w14:textId="77777777" w:rsidR="00476FA4" w:rsidRDefault="00BF6F90">
            <w:pPr>
              <w:spacing w:after="0" w:line="240" w:lineRule="auto"/>
              <w:jc w:val="center"/>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8 jours</w:t>
            </w: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54A5B601"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Mars 2025</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4441894"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Évaluateurs externes</w:t>
            </w:r>
          </w:p>
        </w:tc>
        <w:tc>
          <w:tcPr>
            <w:tcW w:w="2196" w:type="dxa"/>
            <w:tcBorders>
              <w:top w:val="nil"/>
              <w:left w:val="single" w:sz="4" w:space="0" w:color="auto"/>
              <w:bottom w:val="single" w:sz="8" w:space="0" w:color="auto"/>
              <w:right w:val="single" w:sz="8" w:space="0" w:color="auto"/>
            </w:tcBorders>
            <w:vAlign w:val="center"/>
          </w:tcPr>
          <w:p w14:paraId="5023D70C" w14:textId="77777777" w:rsidR="00210851" w:rsidRPr="00C24F16" w:rsidRDefault="00210851" w:rsidP="00562648">
            <w:pPr>
              <w:spacing w:after="0" w:line="240" w:lineRule="auto"/>
              <w:rPr>
                <w:rFonts w:ascii="Times New Roman" w:eastAsia="Times New Roman" w:hAnsi="Times New Roman" w:cs="Times New Roman"/>
                <w:color w:val="212121"/>
                <w:kern w:val="0"/>
                <w:lang w:val="en-US" w:eastAsia="en-GB"/>
                <w14:ligatures w14:val="none"/>
              </w:rPr>
            </w:pPr>
          </w:p>
        </w:tc>
      </w:tr>
      <w:tr w:rsidR="00210851" w:rsidRPr="00C24F16" w14:paraId="351FC6A9" w14:textId="77777777"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FEC42" w14:textId="77777777" w:rsidR="00476FA4" w:rsidRDefault="00BF6F90">
            <w:pPr>
              <w:spacing w:after="0" w:line="240" w:lineRule="auto"/>
              <w:rPr>
                <w:rFonts w:ascii="Times New Roman" w:hAnsi="Times New Roman" w:cs="Times New Roman"/>
                <w:lang w:val="en-GB"/>
              </w:rPr>
            </w:pPr>
            <w:r w:rsidRPr="00C24F16">
              <w:rPr>
                <w:rFonts w:ascii="Times New Roman" w:eastAsia="Times New Roman" w:hAnsi="Times New Roman" w:cs="Times New Roman"/>
                <w:color w:val="212121"/>
                <w:kern w:val="0"/>
                <w:lang w:val="en-GB" w:eastAsia="en-GB"/>
                <w14:ligatures w14:val="none"/>
              </w:rPr>
              <w:t xml:space="preserve">Visite à </w:t>
            </w:r>
            <w:r w:rsidRPr="00C24F16">
              <w:rPr>
                <w:rFonts w:ascii="Times New Roman" w:hAnsi="Times New Roman" w:cs="Times New Roman"/>
                <w:lang w:val="en-GB"/>
              </w:rPr>
              <w:t>Tominian</w:t>
            </w:r>
          </w:p>
          <w:p w14:paraId="27C7A1FB" w14:textId="77777777" w:rsidR="00476FA4" w:rsidRDefault="00BF6F90">
            <w:pPr>
              <w:pStyle w:val="ListParagraph"/>
              <w:numPr>
                <w:ilvl w:val="0"/>
                <w:numId w:val="14"/>
              </w:num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FGDs</w:t>
            </w:r>
          </w:p>
          <w:p w14:paraId="309DD35B" w14:textId="77777777" w:rsidR="00476FA4" w:rsidRDefault="00BF6F90">
            <w:pPr>
              <w:pStyle w:val="ListParagraph"/>
              <w:numPr>
                <w:ilvl w:val="0"/>
                <w:numId w:val="14"/>
              </w:num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KIIs</w:t>
            </w:r>
          </w:p>
        </w:tc>
        <w:tc>
          <w:tcPr>
            <w:tcW w:w="869" w:type="dxa"/>
            <w:tcBorders>
              <w:top w:val="nil"/>
              <w:left w:val="nil"/>
              <w:bottom w:val="single" w:sz="8" w:space="0" w:color="auto"/>
              <w:right w:val="single" w:sz="4" w:space="0" w:color="auto"/>
            </w:tcBorders>
            <w:vAlign w:val="center"/>
          </w:tcPr>
          <w:p w14:paraId="31C2143D" w14:textId="77777777" w:rsidR="00476FA4" w:rsidRDefault="00BF6F90">
            <w:pPr>
              <w:spacing w:after="0" w:line="240" w:lineRule="auto"/>
              <w:jc w:val="center"/>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8 jours</w:t>
            </w: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7D8F3B41"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 xml:space="preserve">Mars </w:t>
            </w:r>
            <w:r w:rsidR="00210851" w:rsidRPr="00C24F16">
              <w:rPr>
                <w:rFonts w:ascii="Times New Roman" w:eastAsia="Times New Roman" w:hAnsi="Times New Roman" w:cs="Times New Roman"/>
                <w:color w:val="212121"/>
                <w:kern w:val="0"/>
                <w:lang w:val="en-US" w:eastAsia="en-GB"/>
                <w14:ligatures w14:val="none"/>
              </w:rPr>
              <w:t>2025</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AE1174F"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Évaluateurs externes</w:t>
            </w:r>
          </w:p>
        </w:tc>
        <w:tc>
          <w:tcPr>
            <w:tcW w:w="2196" w:type="dxa"/>
            <w:tcBorders>
              <w:top w:val="nil"/>
              <w:left w:val="single" w:sz="4" w:space="0" w:color="auto"/>
              <w:bottom w:val="single" w:sz="8" w:space="0" w:color="auto"/>
              <w:right w:val="single" w:sz="8" w:space="0" w:color="auto"/>
            </w:tcBorders>
            <w:vAlign w:val="center"/>
          </w:tcPr>
          <w:p w14:paraId="29726E0F" w14:textId="77777777" w:rsidR="00210851" w:rsidRPr="00C24F16" w:rsidRDefault="00210851" w:rsidP="00562648">
            <w:pPr>
              <w:spacing w:after="0" w:line="240" w:lineRule="auto"/>
              <w:rPr>
                <w:rFonts w:ascii="Times New Roman" w:eastAsia="Times New Roman" w:hAnsi="Times New Roman" w:cs="Times New Roman"/>
                <w:color w:val="212121"/>
                <w:kern w:val="0"/>
                <w:lang w:val="en-US" w:eastAsia="en-GB"/>
                <w14:ligatures w14:val="none"/>
              </w:rPr>
            </w:pPr>
          </w:p>
        </w:tc>
      </w:tr>
      <w:tr w:rsidR="00210851" w:rsidRPr="00C24F16" w14:paraId="240E1272" w14:textId="77777777"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824B7"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 xml:space="preserve">Analyse </w:t>
            </w:r>
          </w:p>
        </w:tc>
        <w:tc>
          <w:tcPr>
            <w:tcW w:w="869" w:type="dxa"/>
            <w:tcBorders>
              <w:top w:val="nil"/>
              <w:left w:val="nil"/>
              <w:bottom w:val="single" w:sz="8" w:space="0" w:color="auto"/>
              <w:right w:val="single" w:sz="4" w:space="0" w:color="auto"/>
            </w:tcBorders>
            <w:vAlign w:val="center"/>
          </w:tcPr>
          <w:p w14:paraId="72B5536C" w14:textId="77777777" w:rsidR="00476FA4" w:rsidRDefault="00BF6F90">
            <w:pPr>
              <w:spacing w:after="0" w:line="240" w:lineRule="auto"/>
              <w:jc w:val="center"/>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10 jours</w:t>
            </w: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314E595C"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Mars 2025</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5C6F351"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 xml:space="preserve">Évaluateurs externes </w:t>
            </w:r>
          </w:p>
        </w:tc>
        <w:tc>
          <w:tcPr>
            <w:tcW w:w="2196" w:type="dxa"/>
            <w:tcBorders>
              <w:top w:val="nil"/>
              <w:left w:val="single" w:sz="4" w:space="0" w:color="auto"/>
              <w:bottom w:val="single" w:sz="8" w:space="0" w:color="auto"/>
              <w:right w:val="single" w:sz="8" w:space="0" w:color="auto"/>
            </w:tcBorders>
            <w:vAlign w:val="center"/>
          </w:tcPr>
          <w:p w14:paraId="2175A1B0" w14:textId="77777777" w:rsidR="00210851" w:rsidRPr="00C24F16" w:rsidRDefault="00210851" w:rsidP="00562648">
            <w:pPr>
              <w:spacing w:after="0" w:line="240" w:lineRule="auto"/>
              <w:rPr>
                <w:rFonts w:ascii="Times New Roman" w:eastAsia="Times New Roman" w:hAnsi="Times New Roman" w:cs="Times New Roman"/>
                <w:color w:val="212121"/>
                <w:kern w:val="0"/>
                <w:lang w:val="en-US" w:eastAsia="en-GB"/>
                <w14:ligatures w14:val="none"/>
              </w:rPr>
            </w:pPr>
          </w:p>
        </w:tc>
      </w:tr>
      <w:tr w:rsidR="00210851" w:rsidRPr="00C24F16" w14:paraId="29DE3C5D" w14:textId="77777777"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713C8C"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Présentation des résultats préliminaires</w:t>
            </w:r>
          </w:p>
        </w:tc>
        <w:tc>
          <w:tcPr>
            <w:tcW w:w="869" w:type="dxa"/>
            <w:tcBorders>
              <w:top w:val="nil"/>
              <w:left w:val="nil"/>
              <w:bottom w:val="single" w:sz="8" w:space="0" w:color="auto"/>
              <w:right w:val="single" w:sz="4" w:space="0" w:color="auto"/>
            </w:tcBorders>
            <w:vAlign w:val="center"/>
          </w:tcPr>
          <w:p w14:paraId="7F2CA3B1" w14:textId="77777777" w:rsidR="00476FA4" w:rsidRDefault="00BF6F90">
            <w:pPr>
              <w:spacing w:after="0" w:line="240" w:lineRule="auto"/>
              <w:jc w:val="center"/>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2 jours</w:t>
            </w: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6E90BF86"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Dernière semaine de mars</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2106C0B"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Évaluateurs externes</w:t>
            </w:r>
          </w:p>
        </w:tc>
        <w:tc>
          <w:tcPr>
            <w:tcW w:w="2196" w:type="dxa"/>
            <w:tcBorders>
              <w:top w:val="nil"/>
              <w:left w:val="single" w:sz="4" w:space="0" w:color="auto"/>
              <w:bottom w:val="single" w:sz="8" w:space="0" w:color="auto"/>
              <w:right w:val="single" w:sz="8" w:space="0" w:color="auto"/>
            </w:tcBorders>
            <w:vAlign w:val="center"/>
          </w:tcPr>
          <w:p w14:paraId="0B0DBF49" w14:textId="77777777" w:rsidR="00476FA4" w:rsidRDefault="00BF6F90">
            <w:pPr>
              <w:spacing w:after="0"/>
              <w:rPr>
                <w:rFonts w:ascii="Times New Roman" w:hAnsi="Times New Roman" w:cs="Times New Roman"/>
                <w:lang w:val="en-GB" w:eastAsia="en-GB"/>
              </w:rPr>
            </w:pPr>
            <w:r w:rsidRPr="00C24F16">
              <w:rPr>
                <w:rFonts w:ascii="Times New Roman" w:hAnsi="Times New Roman" w:cs="Times New Roman"/>
                <w:lang w:val="en-GB" w:eastAsia="en-GB"/>
              </w:rPr>
              <w:t>Présentation des résultats préliminaires</w:t>
            </w:r>
          </w:p>
        </w:tc>
      </w:tr>
      <w:tr w:rsidR="00210851" w:rsidRPr="00C24F16" w14:paraId="436537A6" w14:textId="5E14E936" w:rsidTr="00C23757">
        <w:trPr>
          <w:trHeight w:val="57"/>
        </w:trPr>
        <w:tc>
          <w:tcPr>
            <w:tcW w:w="10065" w:type="dxa"/>
            <w:gridSpan w:val="5"/>
            <w:tcBorders>
              <w:top w:val="nil"/>
              <w:left w:val="single" w:sz="8" w:space="0" w:color="auto"/>
              <w:bottom w:val="single" w:sz="8" w:space="0" w:color="auto"/>
              <w:right w:val="single" w:sz="4" w:space="0" w:color="auto"/>
            </w:tcBorders>
            <w:shd w:val="clear" w:color="auto" w:fill="E8E8E8" w:themeFill="background2"/>
            <w:vAlign w:val="center"/>
          </w:tcPr>
          <w:p w14:paraId="29700C77" w14:textId="77777777" w:rsidR="00476FA4" w:rsidRDefault="00BF6F90">
            <w:pPr>
              <w:spacing w:after="0" w:line="240" w:lineRule="auto"/>
              <w:jc w:val="center"/>
              <w:rPr>
                <w:rFonts w:ascii="Times New Roman" w:eastAsia="Times New Roman" w:hAnsi="Times New Roman" w:cs="Times New Roman"/>
                <w:b/>
                <w:bCs/>
                <w:color w:val="212121"/>
                <w:kern w:val="0"/>
                <w:lang w:val="en-US" w:eastAsia="en-GB"/>
                <w14:ligatures w14:val="none"/>
              </w:rPr>
            </w:pPr>
            <w:r w:rsidRPr="00C24F16">
              <w:rPr>
                <w:rFonts w:ascii="Times New Roman" w:eastAsia="Times New Roman" w:hAnsi="Times New Roman" w:cs="Times New Roman"/>
                <w:b/>
                <w:bCs/>
                <w:color w:val="212121"/>
                <w:kern w:val="0"/>
                <w:lang w:val="en-US" w:eastAsia="en-GB"/>
                <w14:ligatures w14:val="none"/>
              </w:rPr>
              <w:t>RAPPORT</w:t>
            </w:r>
          </w:p>
          <w:p w14:paraId="4A9B0CDE" w14:textId="77777777" w:rsidR="00476FA4" w:rsidRDefault="00210851">
            <w:pPr>
              <w:spacing w:after="0" w:line="240" w:lineRule="auto"/>
              <w:jc w:val="center"/>
              <w:rPr>
                <w:rFonts w:ascii="Times New Roman" w:eastAsia="Times New Roman" w:hAnsi="Times New Roman" w:cs="Times New Roman"/>
                <w:b/>
                <w:bCs/>
                <w:color w:val="212121"/>
                <w:kern w:val="0"/>
                <w:lang w:val="en-US" w:eastAsia="en-GB"/>
                <w14:ligatures w14:val="none"/>
              </w:rPr>
            </w:pPr>
            <w:r w:rsidRPr="00C24F16">
              <w:rPr>
                <w:rFonts w:ascii="Times New Roman" w:eastAsia="Times New Roman" w:hAnsi="Times New Roman" w:cs="Times New Roman"/>
                <w:b/>
                <w:bCs/>
                <w:color w:val="212121"/>
                <w:kern w:val="0"/>
                <w:lang w:val="en-US" w:eastAsia="en-GB"/>
                <w14:ligatures w14:val="none"/>
              </w:rPr>
              <w:t xml:space="preserve">14 jours </w:t>
            </w:r>
          </w:p>
        </w:tc>
      </w:tr>
      <w:tr w:rsidR="004C081B" w:rsidRPr="00C24F16" w14:paraId="6D24AF7D" w14:textId="585C600D"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9801C" w14:textId="453EC204" w:rsidR="00476FA4" w:rsidRDefault="000005F7">
            <w:pPr>
              <w:spacing w:after="0" w:line="240" w:lineRule="auto"/>
              <w:rPr>
                <w:rFonts w:ascii="Times New Roman" w:eastAsia="Times New Roman" w:hAnsi="Times New Roman" w:cs="Times New Roman"/>
                <w:color w:val="212121"/>
                <w:kern w:val="0"/>
                <w:lang w:eastAsia="en-GB"/>
                <w14:ligatures w14:val="none"/>
              </w:rPr>
            </w:pPr>
            <w:r>
              <w:rPr>
                <w:rFonts w:ascii="Times New Roman" w:eastAsia="Times New Roman" w:hAnsi="Times New Roman" w:cs="Times New Roman"/>
                <w:color w:val="212121"/>
                <w:kern w:val="0"/>
                <w:lang w:eastAsia="en-GB"/>
                <w14:ligatures w14:val="none"/>
              </w:rPr>
              <w:t>Première version du</w:t>
            </w:r>
            <w:r w:rsidRPr="00C24F16">
              <w:rPr>
                <w:rFonts w:ascii="Times New Roman" w:eastAsia="Times New Roman" w:hAnsi="Times New Roman" w:cs="Times New Roman"/>
                <w:color w:val="212121"/>
                <w:kern w:val="0"/>
                <w:lang w:eastAsia="en-GB"/>
                <w14:ligatures w14:val="none"/>
              </w:rPr>
              <w:t xml:space="preserve"> rapport d'évaluation </w:t>
            </w:r>
          </w:p>
        </w:tc>
        <w:tc>
          <w:tcPr>
            <w:tcW w:w="869" w:type="dxa"/>
            <w:tcBorders>
              <w:top w:val="nil"/>
              <w:left w:val="nil"/>
              <w:bottom w:val="single" w:sz="8" w:space="0" w:color="auto"/>
              <w:right w:val="single" w:sz="4" w:space="0" w:color="auto"/>
            </w:tcBorders>
            <w:vAlign w:val="center"/>
          </w:tcPr>
          <w:p w14:paraId="53C47562" w14:textId="77777777" w:rsidR="00476FA4" w:rsidRDefault="00BF6F90">
            <w:pPr>
              <w:spacing w:after="0" w:line="240" w:lineRule="auto"/>
              <w:jc w:val="center"/>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8 jours</w:t>
            </w: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2D807D2" w14:textId="77777777" w:rsidR="00476FA4" w:rsidRDefault="00BF6F90">
            <w:pPr>
              <w:spacing w:after="0" w:line="240" w:lineRule="auto"/>
              <w:rPr>
                <w:rFonts w:ascii="Times New Roman" w:eastAsia="Times New Roman" w:hAnsi="Times New Roman" w:cs="Times New Roman"/>
                <w:color w:val="212121"/>
                <w:kern w:val="0"/>
                <w:lang w:val="en-US" w:eastAsia="en-GB"/>
                <w14:ligatures w14:val="none"/>
              </w:rPr>
            </w:pPr>
            <w:r w:rsidRPr="00C24F16">
              <w:rPr>
                <w:rFonts w:ascii="Times New Roman" w:eastAsia="Times New Roman" w:hAnsi="Times New Roman" w:cs="Times New Roman"/>
                <w:color w:val="212121"/>
                <w:kern w:val="0"/>
                <w:lang w:val="en-US" w:eastAsia="en-GB"/>
                <w14:ligatures w14:val="none"/>
              </w:rPr>
              <w:t xml:space="preserve">Avant le </w:t>
            </w:r>
            <w:r w:rsidR="008E52BB" w:rsidRPr="00C24F16">
              <w:rPr>
                <w:rFonts w:ascii="Times New Roman" w:eastAsia="Times New Roman" w:hAnsi="Times New Roman" w:cs="Times New Roman"/>
                <w:color w:val="212121"/>
                <w:kern w:val="0"/>
                <w:lang w:val="en-US" w:eastAsia="en-GB"/>
                <w14:ligatures w14:val="none"/>
              </w:rPr>
              <w:t xml:space="preserve">14 </w:t>
            </w:r>
            <w:r w:rsidR="00101BBC" w:rsidRPr="00C24F16">
              <w:rPr>
                <w:rFonts w:ascii="Times New Roman" w:eastAsia="Times New Roman" w:hAnsi="Times New Roman" w:cs="Times New Roman"/>
                <w:color w:val="212121"/>
                <w:kern w:val="0"/>
                <w:lang w:val="en-US" w:eastAsia="en-GB"/>
                <w14:ligatures w14:val="none"/>
              </w:rPr>
              <w:t>avril</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4B0C740" w14:textId="77777777" w:rsidR="00476FA4" w:rsidRDefault="00BF6F90">
            <w:pPr>
              <w:spacing w:after="0" w:line="240" w:lineRule="auto"/>
              <w:rPr>
                <w:rFonts w:ascii="Times New Roman" w:eastAsia="Times New Roman" w:hAnsi="Times New Roman" w:cs="Times New Roman"/>
                <w:color w:val="212121"/>
                <w:kern w:val="0"/>
                <w:lang w:eastAsia="en-GB"/>
                <w14:ligatures w14:val="none"/>
              </w:rPr>
            </w:pPr>
            <w:r w:rsidRPr="00C24F16">
              <w:rPr>
                <w:rFonts w:ascii="Times New Roman" w:eastAsia="Times New Roman" w:hAnsi="Times New Roman" w:cs="Times New Roman"/>
                <w:color w:val="212121"/>
                <w:kern w:val="0"/>
                <w:lang w:val="en-US" w:eastAsia="en-GB"/>
                <w14:ligatures w14:val="none"/>
              </w:rPr>
              <w:t>Évaluateurs externes</w:t>
            </w:r>
          </w:p>
        </w:tc>
        <w:tc>
          <w:tcPr>
            <w:tcW w:w="2196" w:type="dxa"/>
            <w:tcBorders>
              <w:top w:val="nil"/>
              <w:left w:val="single" w:sz="4" w:space="0" w:color="auto"/>
              <w:bottom w:val="single" w:sz="8" w:space="0" w:color="auto"/>
              <w:right w:val="single" w:sz="8" w:space="0" w:color="auto"/>
            </w:tcBorders>
            <w:vAlign w:val="center"/>
          </w:tcPr>
          <w:p w14:paraId="2CD8B26D" w14:textId="77777777" w:rsidR="00476FA4" w:rsidRDefault="00BF6F90">
            <w:pPr>
              <w:spacing w:after="0"/>
              <w:rPr>
                <w:rFonts w:ascii="Times New Roman" w:hAnsi="Times New Roman" w:cs="Times New Roman"/>
                <w:lang w:val="en-GB" w:eastAsia="en-GB"/>
              </w:rPr>
            </w:pPr>
            <w:r w:rsidRPr="00C24F16">
              <w:rPr>
                <w:rFonts w:ascii="Times New Roman" w:hAnsi="Times New Roman" w:cs="Times New Roman"/>
                <w:lang w:val="en-GB" w:eastAsia="en-GB"/>
              </w:rPr>
              <w:t>Projet de rapport d'évaluation</w:t>
            </w:r>
          </w:p>
        </w:tc>
      </w:tr>
      <w:tr w:rsidR="004C081B" w:rsidRPr="00C24F16" w14:paraId="591285FC" w14:textId="69162763"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1C0B7" w14:textId="77777777" w:rsidR="00476FA4" w:rsidRDefault="00BF6F90">
            <w:pPr>
              <w:spacing w:after="0" w:line="240" w:lineRule="auto"/>
              <w:rPr>
                <w:rFonts w:ascii="Times New Roman" w:eastAsia="Times New Roman" w:hAnsi="Times New Roman" w:cs="Times New Roman"/>
                <w:i/>
                <w:iCs/>
                <w:color w:val="212121"/>
                <w:kern w:val="0"/>
                <w:lang w:eastAsia="en-GB"/>
                <w14:ligatures w14:val="none"/>
              </w:rPr>
            </w:pPr>
            <w:r w:rsidRPr="008013F5">
              <w:rPr>
                <w:rFonts w:ascii="Times New Roman" w:eastAsia="Times New Roman" w:hAnsi="Times New Roman" w:cs="Times New Roman"/>
                <w:i/>
                <w:iCs/>
                <w:color w:val="212121"/>
                <w:kern w:val="0"/>
                <w:lang w:val="fr-FR" w:eastAsia="en-GB"/>
                <w14:ligatures w14:val="none"/>
              </w:rPr>
              <w:lastRenderedPageBreak/>
              <w:t>Assurance qualité du rapport d'</w:t>
            </w:r>
            <w:r w:rsidRPr="00C24F16">
              <w:rPr>
                <w:rFonts w:ascii="Times New Roman" w:eastAsia="Times New Roman" w:hAnsi="Times New Roman" w:cs="Times New Roman"/>
                <w:i/>
                <w:iCs/>
                <w:color w:val="212121"/>
                <w:kern w:val="0"/>
                <w:lang w:eastAsia="en-GB"/>
                <w14:ligatures w14:val="none"/>
              </w:rPr>
              <w:t>évaluation</w:t>
            </w:r>
          </w:p>
        </w:tc>
        <w:tc>
          <w:tcPr>
            <w:tcW w:w="869" w:type="dxa"/>
            <w:tcBorders>
              <w:top w:val="nil"/>
              <w:left w:val="nil"/>
              <w:bottom w:val="single" w:sz="8" w:space="0" w:color="auto"/>
              <w:right w:val="single" w:sz="4" w:space="0" w:color="auto"/>
            </w:tcBorders>
            <w:vAlign w:val="center"/>
          </w:tcPr>
          <w:p w14:paraId="3A749F8C" w14:textId="77777777" w:rsidR="00210851" w:rsidRPr="008013F5" w:rsidRDefault="00210851" w:rsidP="00C23757">
            <w:pPr>
              <w:spacing w:after="0" w:line="240" w:lineRule="auto"/>
              <w:jc w:val="center"/>
              <w:rPr>
                <w:rFonts w:ascii="Times New Roman" w:eastAsia="Times New Roman" w:hAnsi="Times New Roman" w:cs="Times New Roman"/>
                <w:i/>
                <w:iCs/>
                <w:color w:val="212121"/>
                <w:kern w:val="0"/>
                <w:lang w:val="fr-FR" w:eastAsia="en-GB"/>
                <w14:ligatures w14:val="none"/>
              </w:rPr>
            </w:pP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458ADA09" w14:textId="77777777" w:rsidR="00476FA4" w:rsidRDefault="00BF6F90">
            <w:pPr>
              <w:spacing w:after="0" w:line="240" w:lineRule="auto"/>
              <w:rPr>
                <w:rFonts w:ascii="Times New Roman" w:eastAsia="Times New Roman" w:hAnsi="Times New Roman" w:cs="Times New Roman"/>
                <w:i/>
                <w:iCs/>
                <w:color w:val="212121"/>
                <w:kern w:val="0"/>
                <w:lang w:val="en-US" w:eastAsia="en-GB"/>
                <w14:ligatures w14:val="none"/>
              </w:rPr>
            </w:pPr>
            <w:r w:rsidRPr="00C24F16">
              <w:rPr>
                <w:rFonts w:ascii="Times New Roman" w:eastAsia="Times New Roman" w:hAnsi="Times New Roman" w:cs="Times New Roman"/>
                <w:i/>
                <w:iCs/>
                <w:color w:val="212121"/>
                <w:kern w:val="0"/>
                <w:lang w:val="en-US" w:eastAsia="en-GB"/>
                <w14:ligatures w14:val="none"/>
              </w:rPr>
              <w:t xml:space="preserve">Troisième </w:t>
            </w:r>
            <w:r w:rsidR="00210851" w:rsidRPr="00C24F16">
              <w:rPr>
                <w:rFonts w:ascii="Times New Roman" w:eastAsia="Times New Roman" w:hAnsi="Times New Roman" w:cs="Times New Roman"/>
                <w:i/>
                <w:iCs/>
                <w:color w:val="212121"/>
                <w:kern w:val="0"/>
                <w:lang w:val="en-US" w:eastAsia="en-GB"/>
                <w14:ligatures w14:val="none"/>
              </w:rPr>
              <w:t>semaine d'</w:t>
            </w:r>
            <w:r w:rsidR="00101BBC" w:rsidRPr="00C24F16">
              <w:rPr>
                <w:rFonts w:ascii="Times New Roman" w:eastAsia="Times New Roman" w:hAnsi="Times New Roman" w:cs="Times New Roman"/>
                <w:i/>
                <w:iCs/>
                <w:color w:val="212121"/>
                <w:kern w:val="0"/>
                <w:lang w:val="fr-FR" w:eastAsia="en-GB"/>
                <w14:ligatures w14:val="none"/>
              </w:rPr>
              <w:t>avril</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ADB75E4" w14:textId="297685CE" w:rsidR="00476FA4" w:rsidRPr="008013F5" w:rsidRDefault="00B440C1">
            <w:pPr>
              <w:spacing w:after="0" w:line="240" w:lineRule="auto"/>
              <w:rPr>
                <w:rFonts w:ascii="Times New Roman" w:eastAsia="Times New Roman" w:hAnsi="Times New Roman" w:cs="Times New Roman"/>
                <w:i/>
                <w:iCs/>
                <w:color w:val="212121"/>
                <w:kern w:val="0"/>
                <w:lang w:val="fr-FR" w:eastAsia="en-GB"/>
                <w14:ligatures w14:val="none"/>
              </w:rPr>
            </w:pPr>
            <w:r>
              <w:rPr>
                <w:rFonts w:ascii="Times New Roman" w:eastAsia="Times New Roman" w:hAnsi="Times New Roman" w:cs="Times New Roman"/>
                <w:i/>
                <w:iCs/>
                <w:color w:val="212121"/>
                <w:kern w:val="0"/>
                <w:lang w:val="fr-FR" w:eastAsia="en-GB"/>
                <w14:ligatures w14:val="none"/>
              </w:rPr>
              <w:t xml:space="preserve">International </w:t>
            </w:r>
            <w:r w:rsidR="000005F7">
              <w:rPr>
                <w:rFonts w:ascii="Times New Roman" w:eastAsia="Times New Roman" w:hAnsi="Times New Roman" w:cs="Times New Roman"/>
                <w:i/>
                <w:iCs/>
                <w:color w:val="212121"/>
                <w:kern w:val="0"/>
                <w:lang w:val="fr-FR" w:eastAsia="en-GB"/>
                <w14:ligatures w14:val="none"/>
              </w:rPr>
              <w:t>Alert</w:t>
            </w:r>
          </w:p>
          <w:p w14:paraId="504697E0" w14:textId="77777777" w:rsidR="00476FA4" w:rsidRPr="008013F5" w:rsidRDefault="00F45F38">
            <w:pPr>
              <w:spacing w:after="0" w:line="240" w:lineRule="auto"/>
              <w:rPr>
                <w:rFonts w:ascii="Times New Roman" w:eastAsia="Times New Roman" w:hAnsi="Times New Roman" w:cs="Times New Roman"/>
                <w:i/>
                <w:iCs/>
                <w:color w:val="212121"/>
                <w:kern w:val="0"/>
                <w:lang w:val="fr-FR" w:eastAsia="en-GB"/>
                <w14:ligatures w14:val="none"/>
              </w:rPr>
            </w:pPr>
            <w:r w:rsidRPr="008013F5">
              <w:rPr>
                <w:rFonts w:ascii="Times New Roman" w:eastAsia="Times New Roman" w:hAnsi="Times New Roman" w:cs="Times New Roman"/>
                <w:i/>
                <w:iCs/>
                <w:color w:val="212121"/>
                <w:kern w:val="0"/>
                <w:lang w:val="fr-FR" w:eastAsia="en-GB"/>
                <w14:ligatures w14:val="none"/>
              </w:rPr>
              <w:t>Responsable de l'évaluation</w:t>
            </w:r>
          </w:p>
        </w:tc>
        <w:tc>
          <w:tcPr>
            <w:tcW w:w="2196" w:type="dxa"/>
            <w:tcBorders>
              <w:top w:val="nil"/>
              <w:left w:val="single" w:sz="4" w:space="0" w:color="auto"/>
              <w:bottom w:val="single" w:sz="8" w:space="0" w:color="auto"/>
              <w:right w:val="single" w:sz="8" w:space="0" w:color="auto"/>
            </w:tcBorders>
            <w:vAlign w:val="center"/>
          </w:tcPr>
          <w:p w14:paraId="11F1F7E1" w14:textId="77777777" w:rsidR="00210851" w:rsidRPr="008013F5" w:rsidRDefault="00210851" w:rsidP="00562648">
            <w:pPr>
              <w:spacing w:after="0" w:line="240" w:lineRule="auto"/>
              <w:rPr>
                <w:rFonts w:ascii="Times New Roman" w:eastAsia="Times New Roman" w:hAnsi="Times New Roman" w:cs="Times New Roman"/>
                <w:i/>
                <w:iCs/>
                <w:color w:val="212121"/>
                <w:kern w:val="0"/>
                <w:lang w:val="fr-FR" w:eastAsia="en-GB"/>
                <w14:ligatures w14:val="none"/>
              </w:rPr>
            </w:pPr>
          </w:p>
        </w:tc>
      </w:tr>
      <w:tr w:rsidR="004C081B" w:rsidRPr="00C24F16" w14:paraId="3414621C" w14:textId="224B004D"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3D435E" w14:textId="55FB2C99" w:rsidR="00476FA4" w:rsidRDefault="000005F7">
            <w:pPr>
              <w:spacing w:after="0" w:line="240" w:lineRule="auto"/>
              <w:rPr>
                <w:rFonts w:ascii="Times New Roman" w:eastAsia="Times New Roman" w:hAnsi="Times New Roman" w:cs="Times New Roman"/>
                <w:i/>
                <w:iCs/>
                <w:color w:val="212121"/>
                <w:kern w:val="0"/>
                <w:lang w:eastAsia="en-GB"/>
                <w14:ligatures w14:val="none"/>
              </w:rPr>
            </w:pPr>
            <w:proofErr w:type="spellStart"/>
            <w:r>
              <w:rPr>
                <w:rFonts w:ascii="Times New Roman" w:eastAsia="Times New Roman" w:hAnsi="Times New Roman" w:cs="Times New Roman"/>
                <w:i/>
                <w:iCs/>
                <w:color w:val="212121"/>
                <w:kern w:val="0"/>
                <w:lang w:val="en-US" w:eastAsia="en-GB"/>
                <w14:ligatures w14:val="none"/>
              </w:rPr>
              <w:t>Révision</w:t>
            </w:r>
            <w:proofErr w:type="spellEnd"/>
            <w:r w:rsidRPr="00C24F16">
              <w:rPr>
                <w:rFonts w:ascii="Times New Roman" w:eastAsia="Times New Roman" w:hAnsi="Times New Roman" w:cs="Times New Roman"/>
                <w:i/>
                <w:iCs/>
                <w:color w:val="212121"/>
                <w:kern w:val="0"/>
                <w:lang w:val="en-US" w:eastAsia="en-GB"/>
                <w14:ligatures w14:val="none"/>
              </w:rPr>
              <w:t xml:space="preserve"> du rapport d'</w:t>
            </w:r>
            <w:r w:rsidRPr="00C24F16">
              <w:rPr>
                <w:rFonts w:ascii="Times New Roman" w:eastAsia="Times New Roman" w:hAnsi="Times New Roman" w:cs="Times New Roman"/>
                <w:i/>
                <w:iCs/>
                <w:color w:val="212121"/>
                <w:kern w:val="0"/>
                <w:lang w:eastAsia="en-GB"/>
                <w14:ligatures w14:val="none"/>
              </w:rPr>
              <w:t>évaluation</w:t>
            </w:r>
          </w:p>
        </w:tc>
        <w:tc>
          <w:tcPr>
            <w:tcW w:w="869" w:type="dxa"/>
            <w:tcBorders>
              <w:top w:val="nil"/>
              <w:left w:val="nil"/>
              <w:bottom w:val="single" w:sz="8" w:space="0" w:color="auto"/>
              <w:right w:val="single" w:sz="4" w:space="0" w:color="auto"/>
            </w:tcBorders>
            <w:vAlign w:val="center"/>
          </w:tcPr>
          <w:p w14:paraId="0A123AB1" w14:textId="77777777" w:rsidR="00210851" w:rsidRPr="00C24F16" w:rsidRDefault="00210851" w:rsidP="00C23757">
            <w:pPr>
              <w:spacing w:after="0" w:line="240" w:lineRule="auto"/>
              <w:jc w:val="center"/>
              <w:rPr>
                <w:rFonts w:ascii="Times New Roman" w:eastAsia="Times New Roman" w:hAnsi="Times New Roman" w:cs="Times New Roman"/>
                <w:i/>
                <w:iCs/>
                <w:color w:val="212121"/>
                <w:kern w:val="0"/>
                <w:lang w:val="en-US" w:eastAsia="en-GB"/>
                <w14:ligatures w14:val="none"/>
              </w:rPr>
            </w:pP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C4E4291" w14:textId="77777777" w:rsidR="00476FA4" w:rsidRDefault="00BF6F90">
            <w:pPr>
              <w:spacing w:after="0" w:line="240" w:lineRule="auto"/>
              <w:rPr>
                <w:rFonts w:ascii="Times New Roman" w:eastAsia="Times New Roman" w:hAnsi="Times New Roman" w:cs="Times New Roman"/>
                <w:i/>
                <w:iCs/>
                <w:color w:val="212121"/>
                <w:kern w:val="0"/>
                <w:lang w:val="en-US" w:eastAsia="en-GB"/>
                <w14:ligatures w14:val="none"/>
              </w:rPr>
            </w:pPr>
            <w:r w:rsidRPr="00C24F16">
              <w:rPr>
                <w:rFonts w:ascii="Times New Roman" w:eastAsia="Times New Roman" w:hAnsi="Times New Roman" w:cs="Times New Roman"/>
                <w:i/>
                <w:iCs/>
                <w:color w:val="212121"/>
                <w:kern w:val="0"/>
                <w:lang w:val="en-US" w:eastAsia="en-GB"/>
                <w14:ligatures w14:val="none"/>
              </w:rPr>
              <w:t xml:space="preserve">Quatrième </w:t>
            </w:r>
            <w:r w:rsidR="00210851" w:rsidRPr="00C24F16">
              <w:rPr>
                <w:rFonts w:ascii="Times New Roman" w:eastAsia="Times New Roman" w:hAnsi="Times New Roman" w:cs="Times New Roman"/>
                <w:i/>
                <w:iCs/>
                <w:color w:val="212121"/>
                <w:kern w:val="0"/>
                <w:lang w:val="en-US" w:eastAsia="en-GB"/>
                <w14:ligatures w14:val="none"/>
              </w:rPr>
              <w:t>semaine d'</w:t>
            </w:r>
            <w:r w:rsidR="00101BBC" w:rsidRPr="00C24F16">
              <w:rPr>
                <w:rFonts w:ascii="Times New Roman" w:eastAsia="Times New Roman" w:hAnsi="Times New Roman" w:cs="Times New Roman"/>
                <w:i/>
                <w:iCs/>
                <w:color w:val="212121"/>
                <w:kern w:val="0"/>
                <w:lang w:val="fr-FR" w:eastAsia="en-GB"/>
                <w14:ligatures w14:val="none"/>
              </w:rPr>
              <w:t>avril</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15C9136" w14:textId="77777777" w:rsidR="00476FA4" w:rsidRDefault="00BF6F90">
            <w:pPr>
              <w:spacing w:after="0" w:line="240" w:lineRule="auto"/>
              <w:rPr>
                <w:rFonts w:ascii="Times New Roman" w:eastAsia="Times New Roman" w:hAnsi="Times New Roman" w:cs="Times New Roman"/>
                <w:i/>
                <w:iCs/>
                <w:color w:val="212121"/>
                <w:kern w:val="0"/>
                <w:lang w:eastAsia="en-GB"/>
                <w14:ligatures w14:val="none"/>
              </w:rPr>
            </w:pPr>
            <w:r w:rsidRPr="00C24F16">
              <w:rPr>
                <w:rFonts w:ascii="Times New Roman" w:eastAsia="Times New Roman" w:hAnsi="Times New Roman" w:cs="Times New Roman"/>
                <w:i/>
                <w:iCs/>
                <w:color w:val="212121"/>
                <w:kern w:val="0"/>
                <w:lang w:val="en-US" w:eastAsia="en-GB"/>
                <w14:ligatures w14:val="none"/>
              </w:rPr>
              <w:t>ADA</w:t>
            </w:r>
          </w:p>
        </w:tc>
        <w:tc>
          <w:tcPr>
            <w:tcW w:w="2196" w:type="dxa"/>
            <w:tcBorders>
              <w:top w:val="nil"/>
              <w:left w:val="single" w:sz="4" w:space="0" w:color="auto"/>
              <w:bottom w:val="single" w:sz="8" w:space="0" w:color="auto"/>
              <w:right w:val="single" w:sz="8" w:space="0" w:color="auto"/>
            </w:tcBorders>
            <w:vAlign w:val="center"/>
          </w:tcPr>
          <w:p w14:paraId="32573E0D" w14:textId="77777777" w:rsidR="00210851" w:rsidRPr="00C24F16" w:rsidRDefault="00210851" w:rsidP="00562648">
            <w:pPr>
              <w:spacing w:after="0" w:line="240" w:lineRule="auto"/>
              <w:rPr>
                <w:rFonts w:ascii="Times New Roman" w:eastAsia="Times New Roman" w:hAnsi="Times New Roman" w:cs="Times New Roman"/>
                <w:i/>
                <w:iCs/>
                <w:color w:val="212121"/>
                <w:kern w:val="0"/>
                <w:lang w:val="en-US" w:eastAsia="en-GB"/>
                <w14:ligatures w14:val="none"/>
              </w:rPr>
            </w:pPr>
          </w:p>
        </w:tc>
      </w:tr>
      <w:tr w:rsidR="00562648" w:rsidRPr="00C24F16" w14:paraId="4C28C49C" w14:textId="1E0EC879"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BAAF8" w14:textId="2F92ACA1"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Finalis</w:t>
            </w:r>
            <w:r w:rsidR="000005F7">
              <w:rPr>
                <w:rFonts w:ascii="Times New Roman" w:eastAsia="Times New Roman" w:hAnsi="Times New Roman" w:cs="Times New Roman"/>
                <w:color w:val="212121"/>
                <w:kern w:val="0"/>
                <w:lang w:val="en-GB" w:eastAsia="en-GB"/>
                <w14:ligatures w14:val="none"/>
              </w:rPr>
              <w:t>ation du</w:t>
            </w:r>
            <w:r w:rsidRPr="00C24F16">
              <w:rPr>
                <w:rFonts w:ascii="Times New Roman" w:eastAsia="Times New Roman" w:hAnsi="Times New Roman" w:cs="Times New Roman"/>
                <w:color w:val="212121"/>
                <w:kern w:val="0"/>
                <w:lang w:val="en-GB" w:eastAsia="en-GB"/>
                <w14:ligatures w14:val="none"/>
              </w:rPr>
              <w:t xml:space="preserve"> rapport </w:t>
            </w:r>
            <w:proofErr w:type="spellStart"/>
            <w:r w:rsidRPr="00C24F16">
              <w:rPr>
                <w:rFonts w:ascii="Times New Roman" w:eastAsia="Times New Roman" w:hAnsi="Times New Roman" w:cs="Times New Roman"/>
                <w:color w:val="212121"/>
                <w:kern w:val="0"/>
                <w:lang w:val="en-GB" w:eastAsia="en-GB"/>
                <w14:ligatures w14:val="none"/>
              </w:rPr>
              <w:t>d'évaluation</w:t>
            </w:r>
            <w:proofErr w:type="spellEnd"/>
            <w:r w:rsidRPr="00C24F16">
              <w:rPr>
                <w:rFonts w:ascii="Times New Roman" w:eastAsia="Times New Roman" w:hAnsi="Times New Roman" w:cs="Times New Roman"/>
                <w:color w:val="212121"/>
                <w:kern w:val="0"/>
                <w:lang w:val="en-GB" w:eastAsia="en-GB"/>
                <w14:ligatures w14:val="none"/>
              </w:rPr>
              <w:t xml:space="preserve"> </w:t>
            </w:r>
          </w:p>
        </w:tc>
        <w:tc>
          <w:tcPr>
            <w:tcW w:w="869" w:type="dxa"/>
            <w:tcBorders>
              <w:top w:val="nil"/>
              <w:left w:val="nil"/>
              <w:bottom w:val="single" w:sz="8" w:space="0" w:color="auto"/>
              <w:right w:val="single" w:sz="4" w:space="0" w:color="auto"/>
            </w:tcBorders>
            <w:vAlign w:val="center"/>
          </w:tcPr>
          <w:p w14:paraId="771ACA93" w14:textId="77777777" w:rsidR="00476FA4" w:rsidRDefault="00BF6F90">
            <w:pPr>
              <w:spacing w:after="0" w:line="240" w:lineRule="auto"/>
              <w:jc w:val="center"/>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3 jours</w:t>
            </w: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59DA6B7A"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 xml:space="preserve">Première semaine de </w:t>
            </w:r>
            <w:r w:rsidR="008E52BB" w:rsidRPr="00C24F16">
              <w:rPr>
                <w:rFonts w:ascii="Times New Roman" w:eastAsia="Times New Roman" w:hAnsi="Times New Roman" w:cs="Times New Roman"/>
                <w:color w:val="212121"/>
                <w:kern w:val="0"/>
                <w:lang w:val="en-GB" w:eastAsia="en-GB"/>
                <w14:ligatures w14:val="none"/>
              </w:rPr>
              <w:t>mai</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B5A0DC0"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Évaluateurs externes</w:t>
            </w:r>
          </w:p>
        </w:tc>
        <w:tc>
          <w:tcPr>
            <w:tcW w:w="2196" w:type="dxa"/>
            <w:tcBorders>
              <w:top w:val="nil"/>
              <w:left w:val="single" w:sz="4" w:space="0" w:color="auto"/>
              <w:bottom w:val="single" w:sz="8" w:space="0" w:color="auto"/>
              <w:right w:val="single" w:sz="8" w:space="0" w:color="auto"/>
            </w:tcBorders>
            <w:vAlign w:val="center"/>
          </w:tcPr>
          <w:p w14:paraId="38CE3DD7" w14:textId="77777777" w:rsidR="00476FA4" w:rsidRDefault="00BF6F90">
            <w:pPr>
              <w:spacing w:after="0"/>
              <w:rPr>
                <w:rFonts w:ascii="Times New Roman" w:hAnsi="Times New Roman" w:cs="Times New Roman"/>
                <w:i/>
                <w:iCs/>
                <w:lang w:val="en-US"/>
              </w:rPr>
            </w:pPr>
            <w:r w:rsidRPr="00C24F16">
              <w:rPr>
                <w:rFonts w:ascii="Times New Roman" w:hAnsi="Times New Roman" w:cs="Times New Roman"/>
                <w:lang w:val="en-GB" w:eastAsia="en-GB"/>
              </w:rPr>
              <w:t>Rapport d'évaluation final</w:t>
            </w:r>
          </w:p>
        </w:tc>
      </w:tr>
      <w:tr w:rsidR="00210851" w:rsidRPr="00C24F16" w14:paraId="15F774F4" w14:textId="77777777" w:rsidTr="00C23757">
        <w:trPr>
          <w:trHeight w:val="5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738B2"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Atelier de recommandations</w:t>
            </w:r>
          </w:p>
        </w:tc>
        <w:tc>
          <w:tcPr>
            <w:tcW w:w="869" w:type="dxa"/>
            <w:tcBorders>
              <w:top w:val="nil"/>
              <w:left w:val="nil"/>
              <w:bottom w:val="single" w:sz="8" w:space="0" w:color="auto"/>
              <w:right w:val="single" w:sz="4" w:space="0" w:color="auto"/>
            </w:tcBorders>
            <w:vAlign w:val="center"/>
          </w:tcPr>
          <w:p w14:paraId="0AB6EB78" w14:textId="77777777" w:rsidR="00476FA4" w:rsidRDefault="00BF6F90">
            <w:pPr>
              <w:spacing w:after="0" w:line="240" w:lineRule="auto"/>
              <w:jc w:val="center"/>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3 jours</w:t>
            </w:r>
          </w:p>
        </w:tc>
        <w:tc>
          <w:tcPr>
            <w:tcW w:w="206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2674162A"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 xml:space="preserve">Deuxième semaine de </w:t>
            </w:r>
            <w:r w:rsidR="008E52BB" w:rsidRPr="00C24F16">
              <w:rPr>
                <w:rFonts w:ascii="Times New Roman" w:eastAsia="Times New Roman" w:hAnsi="Times New Roman" w:cs="Times New Roman"/>
                <w:color w:val="212121"/>
                <w:kern w:val="0"/>
                <w:lang w:val="en-GB" w:eastAsia="en-GB"/>
                <w14:ligatures w14:val="none"/>
              </w:rPr>
              <w:t>mai</w:t>
            </w:r>
          </w:p>
        </w:tc>
        <w:tc>
          <w:tcPr>
            <w:tcW w:w="29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E830C3E" w14:textId="77777777" w:rsidR="00476FA4" w:rsidRPr="008013F5" w:rsidRDefault="00BF6F90">
            <w:pPr>
              <w:spacing w:after="0" w:line="240" w:lineRule="auto"/>
              <w:rPr>
                <w:rFonts w:ascii="Times New Roman" w:eastAsia="Times New Roman" w:hAnsi="Times New Roman" w:cs="Times New Roman"/>
                <w:color w:val="212121"/>
                <w:kern w:val="0"/>
                <w:lang w:val="fr-FR" w:eastAsia="en-GB"/>
                <w14:ligatures w14:val="none"/>
              </w:rPr>
            </w:pPr>
            <w:r w:rsidRPr="008013F5">
              <w:rPr>
                <w:rFonts w:ascii="Times New Roman" w:eastAsia="Times New Roman" w:hAnsi="Times New Roman" w:cs="Times New Roman"/>
                <w:color w:val="212121"/>
                <w:kern w:val="0"/>
                <w:lang w:val="fr-FR" w:eastAsia="en-GB"/>
                <w14:ligatures w14:val="none"/>
              </w:rPr>
              <w:t>Évaluateurs externes</w:t>
            </w:r>
          </w:p>
          <w:p w14:paraId="14798F34" w14:textId="3CD50ED8" w:rsidR="00476FA4" w:rsidRPr="008013F5" w:rsidRDefault="00B440C1">
            <w:pPr>
              <w:spacing w:after="0" w:line="240" w:lineRule="auto"/>
              <w:rPr>
                <w:rFonts w:ascii="Times New Roman" w:eastAsia="Times New Roman" w:hAnsi="Times New Roman" w:cs="Times New Roman"/>
                <w:color w:val="212121"/>
                <w:kern w:val="0"/>
                <w:lang w:val="fr-FR" w:eastAsia="en-GB"/>
                <w14:ligatures w14:val="none"/>
              </w:rPr>
            </w:pPr>
            <w:r>
              <w:rPr>
                <w:rFonts w:ascii="Times New Roman" w:eastAsia="Times New Roman" w:hAnsi="Times New Roman" w:cs="Times New Roman"/>
                <w:color w:val="212121"/>
                <w:kern w:val="0"/>
                <w:lang w:val="fr-FR" w:eastAsia="en-GB"/>
                <w14:ligatures w14:val="none"/>
              </w:rPr>
              <w:t xml:space="preserve">International </w:t>
            </w:r>
            <w:r w:rsidR="000005F7">
              <w:rPr>
                <w:rFonts w:ascii="Times New Roman" w:eastAsia="Times New Roman" w:hAnsi="Times New Roman" w:cs="Times New Roman"/>
                <w:color w:val="212121"/>
                <w:kern w:val="0"/>
                <w:lang w:val="fr-FR" w:eastAsia="en-GB"/>
                <w14:ligatures w14:val="none"/>
              </w:rPr>
              <w:t>Alert</w:t>
            </w:r>
          </w:p>
          <w:p w14:paraId="167767DA" w14:textId="77777777" w:rsidR="00476FA4" w:rsidRPr="008013F5" w:rsidRDefault="00BF6F90">
            <w:pPr>
              <w:spacing w:after="0" w:line="240" w:lineRule="auto"/>
              <w:rPr>
                <w:rFonts w:ascii="Times New Roman" w:eastAsia="Times New Roman" w:hAnsi="Times New Roman" w:cs="Times New Roman"/>
                <w:color w:val="212121"/>
                <w:kern w:val="0"/>
                <w:lang w:val="fr-FR" w:eastAsia="en-GB"/>
                <w14:ligatures w14:val="none"/>
              </w:rPr>
            </w:pPr>
            <w:r w:rsidRPr="008013F5">
              <w:rPr>
                <w:rFonts w:ascii="Times New Roman" w:eastAsia="Times New Roman" w:hAnsi="Times New Roman" w:cs="Times New Roman"/>
                <w:color w:val="212121"/>
                <w:kern w:val="0"/>
                <w:lang w:val="fr-FR" w:eastAsia="en-GB"/>
                <w14:ligatures w14:val="none"/>
              </w:rPr>
              <w:t>ADA</w:t>
            </w:r>
          </w:p>
        </w:tc>
        <w:tc>
          <w:tcPr>
            <w:tcW w:w="2196" w:type="dxa"/>
            <w:tcBorders>
              <w:top w:val="nil"/>
              <w:left w:val="single" w:sz="4" w:space="0" w:color="auto"/>
              <w:bottom w:val="single" w:sz="8" w:space="0" w:color="auto"/>
              <w:right w:val="single" w:sz="8" w:space="0" w:color="auto"/>
            </w:tcBorders>
            <w:vAlign w:val="center"/>
          </w:tcPr>
          <w:p w14:paraId="7DD7E53E" w14:textId="46DC6882" w:rsidR="00476FA4" w:rsidRDefault="00BF6F90">
            <w:pPr>
              <w:spacing w:after="0"/>
              <w:rPr>
                <w:rFonts w:ascii="Times New Roman" w:hAnsi="Times New Roman" w:cs="Times New Roman"/>
                <w:lang w:val="en-GB" w:eastAsia="en-GB"/>
              </w:rPr>
            </w:pPr>
            <w:proofErr w:type="spellStart"/>
            <w:r w:rsidRPr="00C24F16">
              <w:rPr>
                <w:rFonts w:ascii="Times New Roman" w:hAnsi="Times New Roman" w:cs="Times New Roman"/>
                <w:lang w:val="en-GB" w:eastAsia="en-GB"/>
              </w:rPr>
              <w:t>Présentation</w:t>
            </w:r>
            <w:proofErr w:type="spellEnd"/>
            <w:r w:rsidRPr="00C24F16">
              <w:rPr>
                <w:rFonts w:ascii="Times New Roman" w:hAnsi="Times New Roman" w:cs="Times New Roman"/>
                <w:lang w:val="en-GB" w:eastAsia="en-GB"/>
              </w:rPr>
              <w:t xml:space="preserve"> de</w:t>
            </w:r>
            <w:r w:rsidR="000005F7">
              <w:rPr>
                <w:rFonts w:ascii="Times New Roman" w:hAnsi="Times New Roman" w:cs="Times New Roman"/>
                <w:lang w:val="en-GB" w:eastAsia="en-GB"/>
              </w:rPr>
              <w:t>s</w:t>
            </w:r>
            <w:r w:rsidRPr="00C24F16">
              <w:rPr>
                <w:rFonts w:ascii="Times New Roman" w:hAnsi="Times New Roman" w:cs="Times New Roman"/>
                <w:lang w:val="en-GB" w:eastAsia="en-GB"/>
              </w:rPr>
              <w:t xml:space="preserve"> </w:t>
            </w:r>
            <w:proofErr w:type="spellStart"/>
            <w:r w:rsidRPr="00C24F16">
              <w:rPr>
                <w:rFonts w:ascii="Times New Roman" w:hAnsi="Times New Roman" w:cs="Times New Roman"/>
                <w:lang w:val="en-GB" w:eastAsia="en-GB"/>
              </w:rPr>
              <w:t>recommandation</w:t>
            </w:r>
            <w:proofErr w:type="spellEnd"/>
          </w:p>
        </w:tc>
      </w:tr>
      <w:tr w:rsidR="00210851" w:rsidRPr="00C24F16" w14:paraId="5D8B05F2" w14:textId="2F36EB25" w:rsidTr="00C23757">
        <w:trPr>
          <w:trHeight w:val="57"/>
        </w:trPr>
        <w:tc>
          <w:tcPr>
            <w:tcW w:w="10065" w:type="dxa"/>
            <w:gridSpan w:val="5"/>
            <w:tcBorders>
              <w:top w:val="nil"/>
              <w:left w:val="single" w:sz="8" w:space="0" w:color="auto"/>
              <w:bottom w:val="single" w:sz="8" w:space="0" w:color="auto"/>
              <w:right w:val="single" w:sz="4" w:space="0" w:color="auto"/>
            </w:tcBorders>
            <w:shd w:val="clear" w:color="auto" w:fill="E8E8E8" w:themeFill="background2"/>
            <w:vAlign w:val="center"/>
          </w:tcPr>
          <w:p w14:paraId="5E826D90" w14:textId="77777777" w:rsidR="00476FA4" w:rsidRDefault="00BF6F90">
            <w:pPr>
              <w:spacing w:after="0" w:line="240" w:lineRule="auto"/>
              <w:jc w:val="center"/>
              <w:rPr>
                <w:rFonts w:ascii="Times New Roman" w:eastAsia="Times New Roman" w:hAnsi="Times New Roman" w:cs="Times New Roman"/>
                <w:b/>
                <w:bCs/>
                <w:color w:val="212121"/>
                <w:kern w:val="0"/>
                <w:lang w:val="en-GB" w:eastAsia="en-GB"/>
                <w14:ligatures w14:val="none"/>
              </w:rPr>
            </w:pPr>
            <w:r w:rsidRPr="00C24F16">
              <w:rPr>
                <w:rFonts w:ascii="Times New Roman" w:eastAsia="Times New Roman" w:hAnsi="Times New Roman" w:cs="Times New Roman"/>
                <w:b/>
                <w:bCs/>
                <w:color w:val="212121"/>
                <w:kern w:val="0"/>
                <w:lang w:val="en-GB" w:eastAsia="en-GB"/>
                <w14:ligatures w14:val="none"/>
              </w:rPr>
              <w:t>RÉCAPITULATIF</w:t>
            </w:r>
          </w:p>
        </w:tc>
      </w:tr>
      <w:tr w:rsidR="004C081B" w:rsidRPr="00C24F16" w14:paraId="6711DF6A" w14:textId="5DFACCF8" w:rsidTr="00C23757">
        <w:trPr>
          <w:trHeight w:val="57"/>
        </w:trPr>
        <w:tc>
          <w:tcPr>
            <w:tcW w:w="200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CB218AF"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 xml:space="preserve">Présentation de la facture </w:t>
            </w:r>
          </w:p>
        </w:tc>
        <w:tc>
          <w:tcPr>
            <w:tcW w:w="869" w:type="dxa"/>
            <w:tcBorders>
              <w:top w:val="nil"/>
              <w:left w:val="nil"/>
              <w:bottom w:val="single" w:sz="4" w:space="0" w:color="auto"/>
              <w:right w:val="single" w:sz="4" w:space="0" w:color="auto"/>
            </w:tcBorders>
            <w:vAlign w:val="center"/>
          </w:tcPr>
          <w:p w14:paraId="36942BBF" w14:textId="77777777" w:rsidR="00210851" w:rsidRPr="00C24F16" w:rsidRDefault="00210851" w:rsidP="00562648">
            <w:pPr>
              <w:spacing w:after="0" w:line="240" w:lineRule="auto"/>
              <w:rPr>
                <w:rFonts w:ascii="Times New Roman" w:eastAsia="Times New Roman" w:hAnsi="Times New Roman" w:cs="Times New Roman"/>
                <w:color w:val="212121"/>
                <w:kern w:val="0"/>
                <w:lang w:val="en-GB" w:eastAsia="en-GB"/>
                <w14:ligatures w14:val="none"/>
              </w:rPr>
            </w:pPr>
          </w:p>
        </w:tc>
        <w:tc>
          <w:tcPr>
            <w:tcW w:w="206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69D693"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Fin mai</w:t>
            </w:r>
          </w:p>
        </w:tc>
        <w:tc>
          <w:tcPr>
            <w:tcW w:w="2928"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6259BFE9"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Évaluateurs externes</w:t>
            </w:r>
          </w:p>
          <w:p w14:paraId="282426D0" w14:textId="314EA00E" w:rsidR="00476FA4" w:rsidRDefault="00B440C1">
            <w:pPr>
              <w:spacing w:after="0" w:line="240" w:lineRule="auto"/>
              <w:rPr>
                <w:rFonts w:ascii="Times New Roman" w:eastAsia="Times New Roman" w:hAnsi="Times New Roman" w:cs="Times New Roman"/>
                <w:color w:val="212121"/>
                <w:kern w:val="0"/>
                <w:lang w:val="en-GB" w:eastAsia="en-GB"/>
                <w14:ligatures w14:val="none"/>
              </w:rPr>
            </w:pPr>
            <w:r>
              <w:rPr>
                <w:rFonts w:ascii="Times New Roman" w:eastAsia="Times New Roman" w:hAnsi="Times New Roman" w:cs="Times New Roman"/>
                <w:color w:val="212121"/>
                <w:kern w:val="0"/>
                <w:lang w:val="en-GB" w:eastAsia="en-GB"/>
                <w14:ligatures w14:val="none"/>
              </w:rPr>
              <w:t xml:space="preserve">International </w:t>
            </w:r>
            <w:r w:rsidR="000005F7">
              <w:rPr>
                <w:rFonts w:ascii="Times New Roman" w:eastAsia="Times New Roman" w:hAnsi="Times New Roman" w:cs="Times New Roman"/>
                <w:color w:val="212121"/>
                <w:kern w:val="0"/>
                <w:lang w:val="en-GB" w:eastAsia="en-GB"/>
                <w14:ligatures w14:val="none"/>
              </w:rPr>
              <w:t>Alert</w:t>
            </w:r>
          </w:p>
        </w:tc>
        <w:tc>
          <w:tcPr>
            <w:tcW w:w="2196" w:type="dxa"/>
            <w:tcBorders>
              <w:top w:val="nil"/>
              <w:left w:val="single" w:sz="4" w:space="0" w:color="auto"/>
              <w:bottom w:val="single" w:sz="4" w:space="0" w:color="auto"/>
              <w:right w:val="single" w:sz="8" w:space="0" w:color="auto"/>
            </w:tcBorders>
            <w:vAlign w:val="center"/>
          </w:tcPr>
          <w:p w14:paraId="7996283F" w14:textId="77777777" w:rsidR="00210851" w:rsidRPr="00C24F16" w:rsidRDefault="00210851" w:rsidP="00562648">
            <w:pPr>
              <w:spacing w:after="0" w:line="240" w:lineRule="auto"/>
              <w:rPr>
                <w:rFonts w:ascii="Times New Roman" w:eastAsia="Times New Roman" w:hAnsi="Times New Roman" w:cs="Times New Roman"/>
                <w:color w:val="212121"/>
                <w:kern w:val="0"/>
                <w:lang w:val="en-GB" w:eastAsia="en-GB"/>
                <w14:ligatures w14:val="none"/>
              </w:rPr>
            </w:pPr>
          </w:p>
        </w:tc>
      </w:tr>
      <w:tr w:rsidR="004C081B" w:rsidRPr="00C24F16" w14:paraId="47E986E6" w14:textId="732539A5" w:rsidTr="00C23757">
        <w:trPr>
          <w:trHeight w:val="57"/>
        </w:trPr>
        <w:tc>
          <w:tcPr>
            <w:tcW w:w="2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1B2E3" w14:textId="77777777" w:rsidR="00476FA4" w:rsidRDefault="00BF6F90">
            <w:pPr>
              <w:spacing w:after="0" w:line="240" w:lineRule="auto"/>
              <w:rPr>
                <w:rFonts w:ascii="Times New Roman" w:eastAsia="Times New Roman" w:hAnsi="Times New Roman" w:cs="Times New Roman"/>
                <w:color w:val="212121"/>
                <w:kern w:val="0"/>
                <w:lang w:val="en-GB" w:eastAsia="en-GB"/>
                <w14:ligatures w14:val="none"/>
              </w:rPr>
            </w:pPr>
            <w:r w:rsidRPr="00C24F16">
              <w:rPr>
                <w:rFonts w:ascii="Times New Roman" w:eastAsia="Times New Roman" w:hAnsi="Times New Roman" w:cs="Times New Roman"/>
                <w:color w:val="212121"/>
                <w:kern w:val="0"/>
                <w:lang w:val="en-GB" w:eastAsia="en-GB"/>
                <w14:ligatures w14:val="none"/>
              </w:rPr>
              <w:t>Paiement de la facture</w:t>
            </w:r>
          </w:p>
        </w:tc>
        <w:tc>
          <w:tcPr>
            <w:tcW w:w="869" w:type="dxa"/>
            <w:tcBorders>
              <w:top w:val="single" w:sz="4" w:space="0" w:color="auto"/>
              <w:left w:val="single" w:sz="4" w:space="0" w:color="auto"/>
              <w:bottom w:val="single" w:sz="4" w:space="0" w:color="auto"/>
              <w:right w:val="single" w:sz="4" w:space="0" w:color="auto"/>
            </w:tcBorders>
            <w:vAlign w:val="center"/>
          </w:tcPr>
          <w:p w14:paraId="37C9091F" w14:textId="77777777" w:rsidR="00210851" w:rsidRPr="00C24F16" w:rsidRDefault="00210851" w:rsidP="00562648">
            <w:pPr>
              <w:spacing w:after="0" w:line="240" w:lineRule="auto"/>
              <w:rPr>
                <w:rFonts w:ascii="Times New Roman" w:eastAsia="Times New Roman" w:hAnsi="Times New Roman" w:cs="Times New Roman"/>
                <w:color w:val="212121"/>
                <w:kern w:val="0"/>
                <w:lang w:val="en-GB" w:eastAsia="en-GB"/>
                <w14:ligatures w14:val="none"/>
              </w:rPr>
            </w:pPr>
          </w:p>
        </w:tc>
        <w:tc>
          <w:tcPr>
            <w:tcW w:w="2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86039" w14:textId="77777777" w:rsidR="00476FA4" w:rsidRPr="008013F5" w:rsidRDefault="00BF6F90">
            <w:pPr>
              <w:spacing w:after="0" w:line="240" w:lineRule="auto"/>
              <w:rPr>
                <w:rFonts w:ascii="Times New Roman" w:eastAsia="Times New Roman" w:hAnsi="Times New Roman" w:cs="Times New Roman"/>
                <w:color w:val="212121"/>
                <w:kern w:val="0"/>
                <w:lang w:val="fr-FR" w:eastAsia="en-GB"/>
                <w14:ligatures w14:val="none"/>
              </w:rPr>
            </w:pPr>
            <w:r w:rsidRPr="008013F5">
              <w:rPr>
                <w:rFonts w:ascii="Times New Roman" w:eastAsia="Times New Roman" w:hAnsi="Times New Roman" w:cs="Times New Roman"/>
                <w:color w:val="212121"/>
                <w:kern w:val="0"/>
                <w:lang w:val="fr-FR" w:eastAsia="en-GB"/>
                <w14:ligatures w14:val="none"/>
              </w:rPr>
              <w:t>Dans les 30 jours suivant la présentation de la facture</w:t>
            </w:r>
          </w:p>
        </w:tc>
        <w:tc>
          <w:tcPr>
            <w:tcW w:w="2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400F33" w14:textId="5424B757" w:rsidR="00476FA4" w:rsidRDefault="00B440C1">
            <w:pPr>
              <w:spacing w:after="0" w:line="240" w:lineRule="auto"/>
              <w:rPr>
                <w:rFonts w:ascii="Times New Roman" w:eastAsia="Times New Roman" w:hAnsi="Times New Roman" w:cs="Times New Roman"/>
                <w:color w:val="212121"/>
                <w:kern w:val="0"/>
                <w:lang w:val="en-GB" w:eastAsia="en-GB"/>
                <w14:ligatures w14:val="none"/>
              </w:rPr>
            </w:pPr>
            <w:r>
              <w:rPr>
                <w:rFonts w:ascii="Times New Roman" w:eastAsia="Times New Roman" w:hAnsi="Times New Roman" w:cs="Times New Roman"/>
                <w:color w:val="212121"/>
                <w:kern w:val="0"/>
                <w:lang w:val="en-GB" w:eastAsia="en-GB"/>
                <w14:ligatures w14:val="none"/>
              </w:rPr>
              <w:t>International Alert</w:t>
            </w:r>
          </w:p>
        </w:tc>
        <w:tc>
          <w:tcPr>
            <w:tcW w:w="2196" w:type="dxa"/>
            <w:tcBorders>
              <w:top w:val="single" w:sz="4" w:space="0" w:color="auto"/>
              <w:left w:val="single" w:sz="4" w:space="0" w:color="auto"/>
              <w:bottom w:val="single" w:sz="4" w:space="0" w:color="auto"/>
              <w:right w:val="single" w:sz="4" w:space="0" w:color="auto"/>
            </w:tcBorders>
            <w:vAlign w:val="center"/>
          </w:tcPr>
          <w:p w14:paraId="762155AA" w14:textId="77777777" w:rsidR="00210851" w:rsidRPr="00C24F16" w:rsidRDefault="00210851" w:rsidP="00562648">
            <w:pPr>
              <w:spacing w:after="0" w:line="240" w:lineRule="auto"/>
              <w:rPr>
                <w:rFonts w:ascii="Times New Roman" w:eastAsia="Times New Roman" w:hAnsi="Times New Roman" w:cs="Times New Roman"/>
                <w:color w:val="212121"/>
                <w:kern w:val="0"/>
                <w:lang w:val="en-GB" w:eastAsia="en-GB"/>
                <w14:ligatures w14:val="none"/>
              </w:rPr>
            </w:pPr>
          </w:p>
        </w:tc>
      </w:tr>
    </w:tbl>
    <w:p w14:paraId="6F979974" w14:textId="77777777" w:rsidR="00994D3F" w:rsidRDefault="00994D3F" w:rsidP="00994D3F">
      <w:pPr>
        <w:pStyle w:val="Heading2"/>
        <w:ind w:left="720"/>
        <w:rPr>
          <w:rFonts w:ascii="Times New Roman" w:hAnsi="Times New Roman" w:cs="Times New Roman"/>
          <w:b/>
          <w:bCs/>
          <w:sz w:val="25"/>
          <w:szCs w:val="25"/>
          <w:lang w:val="en-GB"/>
        </w:rPr>
      </w:pPr>
      <w:bookmarkStart w:id="17" w:name="_Toc183474629"/>
      <w:bookmarkStart w:id="18" w:name="_Toc177562449"/>
      <w:bookmarkStart w:id="19" w:name="_Toc177562541"/>
      <w:bookmarkStart w:id="20" w:name="_Toc183474630"/>
      <w:bookmarkEnd w:id="17"/>
    </w:p>
    <w:bookmarkEnd w:id="18"/>
    <w:bookmarkEnd w:id="19"/>
    <w:p w14:paraId="0393DC9E" w14:textId="77777777" w:rsidR="00476FA4" w:rsidRPr="008013F5" w:rsidRDefault="00BF6F90">
      <w:pPr>
        <w:pStyle w:val="Heading2"/>
        <w:numPr>
          <w:ilvl w:val="0"/>
          <w:numId w:val="10"/>
        </w:numPr>
        <w:rPr>
          <w:rFonts w:ascii="Times New Roman" w:hAnsi="Times New Roman" w:cs="Times New Roman"/>
          <w:b/>
          <w:bCs/>
          <w:sz w:val="25"/>
          <w:szCs w:val="25"/>
          <w:lang w:val="fr-FR"/>
        </w:rPr>
      </w:pPr>
      <w:r w:rsidRPr="008013F5">
        <w:rPr>
          <w:rFonts w:ascii="Times New Roman" w:hAnsi="Times New Roman" w:cs="Times New Roman"/>
          <w:b/>
          <w:bCs/>
          <w:sz w:val="25"/>
          <w:szCs w:val="25"/>
          <w:lang w:val="fr-FR"/>
        </w:rPr>
        <w:t xml:space="preserve">Modalités de gestion de l'évaluation </w:t>
      </w:r>
      <w:r w:rsidR="00DA1A61" w:rsidRPr="008013F5">
        <w:rPr>
          <w:rFonts w:ascii="Times New Roman" w:hAnsi="Times New Roman" w:cs="Times New Roman"/>
          <w:b/>
          <w:bCs/>
          <w:sz w:val="25"/>
          <w:szCs w:val="25"/>
          <w:lang w:val="fr-FR"/>
        </w:rPr>
        <w:t>et assurance de la qualité</w:t>
      </w:r>
      <w:bookmarkEnd w:id="20"/>
    </w:p>
    <w:p w14:paraId="5A8338A4" w14:textId="77777777" w:rsidR="00476FA4" w:rsidRPr="008013F5" w:rsidRDefault="00BF6F90">
      <w:pPr>
        <w:jc w:val="both"/>
        <w:rPr>
          <w:rFonts w:ascii="Times New Roman" w:hAnsi="Times New Roman" w:cs="Times New Roman"/>
          <w:b/>
          <w:bCs/>
          <w:lang w:val="fr-FR"/>
        </w:rPr>
      </w:pPr>
      <w:bookmarkStart w:id="21" w:name="_Toc177562450"/>
      <w:bookmarkStart w:id="22" w:name="_Toc177562542"/>
      <w:r w:rsidRPr="008013F5">
        <w:rPr>
          <w:rFonts w:ascii="Times New Roman" w:hAnsi="Times New Roman" w:cs="Times New Roman"/>
          <w:b/>
          <w:bCs/>
          <w:lang w:val="fr-FR"/>
        </w:rPr>
        <w:t xml:space="preserve">Dispositions logistiques </w:t>
      </w:r>
    </w:p>
    <w:p w14:paraId="7720E1F6" w14:textId="7777777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Les consultants doivent organiser leur propre voyage, y compris les vols, les voitures, les bus et/ou d'autres moyens de transport, ainsi que les hôtels</w:t>
      </w:r>
      <w:r w:rsidR="00E37137" w:rsidRPr="008013F5">
        <w:rPr>
          <w:rFonts w:ascii="Times New Roman" w:hAnsi="Times New Roman" w:cs="Times New Roman"/>
          <w:lang w:val="fr-FR"/>
        </w:rPr>
        <w:t xml:space="preserve">, la </w:t>
      </w:r>
      <w:r w:rsidR="00C47018" w:rsidRPr="008013F5">
        <w:rPr>
          <w:rFonts w:ascii="Times New Roman" w:hAnsi="Times New Roman" w:cs="Times New Roman"/>
          <w:lang w:val="fr-FR"/>
        </w:rPr>
        <w:t xml:space="preserve">nourriture, </w:t>
      </w:r>
      <w:r w:rsidR="00E37137" w:rsidRPr="008013F5">
        <w:rPr>
          <w:rFonts w:ascii="Times New Roman" w:hAnsi="Times New Roman" w:cs="Times New Roman"/>
          <w:lang w:val="fr-FR"/>
        </w:rPr>
        <w:t>etc. Ces frais doivent être inclus dans le budget des offres soumises</w:t>
      </w:r>
      <w:r w:rsidR="00173528" w:rsidRPr="008013F5">
        <w:rPr>
          <w:rFonts w:ascii="Times New Roman" w:hAnsi="Times New Roman" w:cs="Times New Roman"/>
          <w:lang w:val="fr-FR"/>
        </w:rPr>
        <w:t xml:space="preserve">. </w:t>
      </w:r>
      <w:r w:rsidR="00644716" w:rsidRPr="008013F5">
        <w:rPr>
          <w:rFonts w:ascii="Times New Roman" w:hAnsi="Times New Roman" w:cs="Times New Roman"/>
          <w:lang w:val="fr-FR"/>
        </w:rPr>
        <w:t xml:space="preserve">La sélection des </w:t>
      </w:r>
      <w:r w:rsidR="00173528" w:rsidRPr="008013F5">
        <w:rPr>
          <w:rFonts w:ascii="Times New Roman" w:hAnsi="Times New Roman" w:cs="Times New Roman"/>
          <w:lang w:val="fr-FR"/>
        </w:rPr>
        <w:t xml:space="preserve">fournisseurs </w:t>
      </w:r>
      <w:r w:rsidR="00644716" w:rsidRPr="008013F5">
        <w:rPr>
          <w:rFonts w:ascii="Times New Roman" w:hAnsi="Times New Roman" w:cs="Times New Roman"/>
          <w:lang w:val="fr-FR"/>
        </w:rPr>
        <w:t xml:space="preserve">se fera conformément aux procédures d'International Alert, qui seront communiquées aux soumissionnaires retenus. </w:t>
      </w:r>
    </w:p>
    <w:p w14:paraId="43899A45" w14:textId="77777777" w:rsidR="00476FA4" w:rsidRPr="008013F5" w:rsidRDefault="00BF6F90">
      <w:pPr>
        <w:jc w:val="both"/>
        <w:rPr>
          <w:rFonts w:ascii="Times New Roman" w:hAnsi="Times New Roman" w:cs="Times New Roman"/>
          <w:b/>
          <w:bCs/>
          <w:lang w:val="fr-FR"/>
        </w:rPr>
      </w:pPr>
      <w:r w:rsidRPr="008013F5">
        <w:rPr>
          <w:rFonts w:ascii="Times New Roman" w:hAnsi="Times New Roman" w:cs="Times New Roman"/>
          <w:b/>
          <w:bCs/>
          <w:lang w:val="fr-FR"/>
        </w:rPr>
        <w:t>Modalités de gestion et contrôle de la qualité</w:t>
      </w:r>
    </w:p>
    <w:p w14:paraId="480A7988" w14:textId="7B2FC135"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Alert</w:t>
      </w:r>
      <w:r w:rsidRPr="008013F5">
        <w:rPr>
          <w:rFonts w:ascii="Times New Roman" w:hAnsi="Times New Roman" w:cs="Times New Roman"/>
          <w:lang w:val="fr-FR"/>
        </w:rPr>
        <w:t xml:space="preserve"> exige que l'évaluation soit fortement alignée sur les objectifs d'apprentissage et qu'elle soutienne des conclusions exploitables.</w:t>
      </w:r>
      <w:r w:rsidR="001167BE">
        <w:rPr>
          <w:rFonts w:ascii="Times New Roman" w:hAnsi="Times New Roman" w:cs="Times New Roman"/>
          <w:lang w:val="fr-FR"/>
        </w:rPr>
        <w:t xml:space="preserve"> </w:t>
      </w:r>
      <w:r w:rsidRPr="008013F5">
        <w:rPr>
          <w:rFonts w:ascii="Times New Roman" w:hAnsi="Times New Roman" w:cs="Times New Roman"/>
          <w:lang w:val="fr-FR"/>
        </w:rPr>
        <w:t xml:space="preserve">À cette fin, le gestionnaire d'évaluation fournira un retour d'information tout au long de la phase de démarrage, y compris dans le projet de rapport de démarrage, afin de s'assurer que la conception et l'approche de l'évaluation sont adéquates et conformes à la liste de contrôle de la qualité du </w:t>
      </w:r>
      <w:r w:rsidR="004C4994" w:rsidRPr="008013F5">
        <w:rPr>
          <w:rFonts w:ascii="Times New Roman" w:hAnsi="Times New Roman" w:cs="Times New Roman"/>
          <w:lang w:val="fr-FR"/>
        </w:rPr>
        <w:t>rapport de démarrage d'</w:t>
      </w:r>
      <w:r w:rsidRPr="008013F5">
        <w:rPr>
          <w:rFonts w:ascii="Times New Roman" w:hAnsi="Times New Roman" w:cs="Times New Roman"/>
          <w:lang w:val="fr-FR"/>
        </w:rPr>
        <w:t>ADA</w:t>
      </w:r>
      <w:r w:rsidR="0049114D" w:rsidRPr="00C24F16">
        <w:rPr>
          <w:rStyle w:val="FootnoteReference"/>
          <w:rFonts w:ascii="Times New Roman" w:hAnsi="Times New Roman" w:cs="Times New Roman"/>
          <w:lang w:val="en-US"/>
        </w:rPr>
        <w:footnoteReference w:id="2"/>
      </w:r>
      <w:r w:rsidR="001B53F3">
        <w:rPr>
          <w:rFonts w:ascii="Times New Roman" w:hAnsi="Times New Roman" w:cs="Times New Roman"/>
          <w:lang w:val="fr-FR"/>
        </w:rPr>
        <w:t>.</w:t>
      </w:r>
      <w:r w:rsidR="001167BE">
        <w:rPr>
          <w:rFonts w:ascii="Times New Roman" w:hAnsi="Times New Roman" w:cs="Times New Roman"/>
          <w:lang w:val="fr-FR"/>
        </w:rPr>
        <w:t xml:space="preserve"> </w:t>
      </w:r>
      <w:r w:rsidRPr="008013F5">
        <w:rPr>
          <w:rFonts w:ascii="Times New Roman" w:hAnsi="Times New Roman" w:cs="Times New Roman"/>
          <w:lang w:val="fr-FR"/>
        </w:rPr>
        <w:t>Les évaluateurs effectueront de manière indépendante la collecte des données</w:t>
      </w:r>
      <w:r w:rsidR="00562648" w:rsidRPr="008013F5">
        <w:rPr>
          <w:rFonts w:ascii="Times New Roman" w:hAnsi="Times New Roman" w:cs="Times New Roman"/>
          <w:lang w:val="fr-FR"/>
        </w:rPr>
        <w:t>, l'</w:t>
      </w:r>
      <w:r w:rsidRPr="008013F5">
        <w:rPr>
          <w:rFonts w:ascii="Times New Roman" w:hAnsi="Times New Roman" w:cs="Times New Roman"/>
          <w:lang w:val="fr-FR"/>
        </w:rPr>
        <w:t>analyse et la rédaction des rapports</w:t>
      </w:r>
      <w:r w:rsidR="009B3191" w:rsidRPr="008013F5">
        <w:rPr>
          <w:rFonts w:ascii="Times New Roman" w:hAnsi="Times New Roman" w:cs="Times New Roman"/>
          <w:lang w:val="fr-FR"/>
        </w:rPr>
        <w:t xml:space="preserve">, dont le contenu devra être aligné sur la liste de contrôle de la qualité des </w:t>
      </w:r>
      <w:r w:rsidR="004C4994" w:rsidRPr="008013F5">
        <w:rPr>
          <w:rFonts w:ascii="Times New Roman" w:hAnsi="Times New Roman" w:cs="Times New Roman"/>
          <w:lang w:val="fr-FR"/>
        </w:rPr>
        <w:t xml:space="preserve">rapports d'évaluation </w:t>
      </w:r>
      <w:r w:rsidR="008A5F33">
        <w:rPr>
          <w:rFonts w:ascii="Times New Roman" w:hAnsi="Times New Roman" w:cs="Times New Roman"/>
          <w:lang w:val="fr-FR"/>
        </w:rPr>
        <w:t>d’ADA</w:t>
      </w:r>
      <w:r w:rsidR="0049114D" w:rsidRPr="00C24F16">
        <w:rPr>
          <w:rStyle w:val="FootnoteReference"/>
          <w:rFonts w:ascii="Times New Roman" w:hAnsi="Times New Roman" w:cs="Times New Roman"/>
          <w:lang w:val="en-US"/>
        </w:rPr>
        <w:footnoteReference w:id="3"/>
      </w:r>
      <w:r w:rsidR="001B53F3">
        <w:rPr>
          <w:rFonts w:ascii="Times New Roman" w:hAnsi="Times New Roman" w:cs="Times New Roman"/>
          <w:lang w:val="fr-FR"/>
        </w:rPr>
        <w:t>.</w:t>
      </w:r>
      <w:r w:rsidR="009B3191" w:rsidRPr="008013F5">
        <w:rPr>
          <w:rFonts w:ascii="Times New Roman" w:hAnsi="Times New Roman" w:cs="Times New Roman"/>
          <w:lang w:val="fr-FR"/>
        </w:rPr>
        <w:t xml:space="preserve"> </w:t>
      </w:r>
    </w:p>
    <w:p w14:paraId="13C702CC" w14:textId="7080ABE0" w:rsidR="00476FA4" w:rsidRPr="001167BE" w:rsidRDefault="00BF6F90" w:rsidP="001167BE">
      <w:pPr>
        <w:jc w:val="both"/>
        <w:rPr>
          <w:rFonts w:ascii="Times New Roman" w:hAnsi="Times New Roman" w:cs="Times New Roman"/>
          <w:lang w:val="fr-FR"/>
        </w:rPr>
      </w:pPr>
      <w:r w:rsidRPr="008013F5">
        <w:rPr>
          <w:rFonts w:ascii="Times New Roman" w:hAnsi="Times New Roman" w:cs="Times New Roman"/>
          <w:lang w:val="fr-FR"/>
        </w:rPr>
        <w:t>Le gestionnaire d'évaluation fournira également un retour d'information tout au long de la phase de collecte, d'analyse et de synthèse des données, y compris dans le projet de rapport d'évaluation, afin de rendre les recommandations aussi pertinentes et utiles que possible. Un atelier devra être organisé pour affiner les recommandations, une fois que les résultats et les conclusions de l'évaluation seront finalisés.</w:t>
      </w:r>
      <w:r w:rsidR="001167BE">
        <w:rPr>
          <w:rFonts w:ascii="Times New Roman" w:hAnsi="Times New Roman" w:cs="Times New Roman"/>
          <w:lang w:val="fr-FR"/>
        </w:rPr>
        <w:t xml:space="preserve"> </w:t>
      </w:r>
      <w:r w:rsidRPr="008013F5">
        <w:rPr>
          <w:rFonts w:ascii="Times New Roman" w:hAnsi="Times New Roman" w:cs="Times New Roman"/>
          <w:lang w:val="fr-FR"/>
        </w:rPr>
        <w:t xml:space="preserve">En plus des </w:t>
      </w:r>
      <w:r w:rsidR="00F42DA7" w:rsidRPr="008013F5">
        <w:rPr>
          <w:rFonts w:ascii="Times New Roman" w:hAnsi="Times New Roman" w:cs="Times New Roman"/>
          <w:lang w:val="fr-FR"/>
        </w:rPr>
        <w:t xml:space="preserve">lignes directrices et des critères </w:t>
      </w:r>
      <w:r w:rsidR="008A5F33">
        <w:rPr>
          <w:rFonts w:ascii="Times New Roman" w:hAnsi="Times New Roman" w:cs="Times New Roman"/>
          <w:lang w:val="fr-FR"/>
        </w:rPr>
        <w:t>d’ADA</w:t>
      </w:r>
      <w:r w:rsidR="00F42DA7" w:rsidRPr="008013F5">
        <w:rPr>
          <w:rFonts w:ascii="Times New Roman" w:hAnsi="Times New Roman" w:cs="Times New Roman"/>
          <w:lang w:val="fr-FR"/>
        </w:rPr>
        <w:t xml:space="preserve">, l'évaluation doit suivre les </w:t>
      </w:r>
      <w:r w:rsidR="00DA1A61" w:rsidRPr="008013F5">
        <w:rPr>
          <w:rFonts w:ascii="Times New Roman" w:hAnsi="Times New Roman" w:cs="Times New Roman"/>
          <w:lang w:val="fr-FR"/>
        </w:rPr>
        <w:t xml:space="preserve">normes et les standards de </w:t>
      </w:r>
      <w:hyperlink r:id="rId11" w:history="1">
        <w:r w:rsidR="001B53F3">
          <w:rPr>
            <w:rStyle w:val="Hyperlink"/>
            <w:rFonts w:ascii="Times New Roman" w:hAnsi="Times New Roman" w:cs="Times New Roman"/>
            <w:lang w:val="fr-FR"/>
          </w:rPr>
          <w:t>DAC/OCDE</w:t>
        </w:r>
      </w:hyperlink>
      <w:r w:rsidR="00DA1A61" w:rsidRPr="008013F5">
        <w:rPr>
          <w:rFonts w:ascii="Times New Roman" w:hAnsi="Times New Roman" w:cs="Times New Roman"/>
          <w:lang w:val="fr-FR"/>
        </w:rPr>
        <w:t xml:space="preserve"> ainsi que les lignes directrices éthiques </w:t>
      </w:r>
      <w:r w:rsidR="00E11A88" w:rsidRPr="008013F5">
        <w:rPr>
          <w:rFonts w:ascii="Times New Roman" w:hAnsi="Times New Roman" w:cs="Times New Roman"/>
          <w:lang w:val="fr-FR"/>
        </w:rPr>
        <w:t xml:space="preserve">sectorielles </w:t>
      </w:r>
      <w:r w:rsidR="00DA1A61" w:rsidRPr="008013F5">
        <w:rPr>
          <w:rFonts w:ascii="Times New Roman" w:hAnsi="Times New Roman" w:cs="Times New Roman"/>
          <w:lang w:val="fr-FR"/>
        </w:rPr>
        <w:t>pour les évaluations</w:t>
      </w:r>
      <w:r w:rsidR="001B53F3" w:rsidRPr="00C24F16">
        <w:rPr>
          <w:rStyle w:val="FootnoteReference"/>
          <w:rFonts w:ascii="Times New Roman" w:hAnsi="Times New Roman" w:cs="Times New Roman"/>
          <w:lang w:val="en-GB"/>
        </w:rPr>
        <w:footnoteReference w:id="4"/>
      </w:r>
      <w:r w:rsidR="00E11A88" w:rsidRPr="008013F5">
        <w:rPr>
          <w:rFonts w:ascii="Times New Roman" w:hAnsi="Times New Roman" w:cs="Times New Roman"/>
          <w:lang w:val="fr-FR"/>
        </w:rPr>
        <w:t>.</w:t>
      </w:r>
      <w:bookmarkEnd w:id="21"/>
      <w:bookmarkEnd w:id="22"/>
      <w:r w:rsidR="001B53F3" w:rsidRPr="001B53F3">
        <w:rPr>
          <w:rStyle w:val="FootnoteReference"/>
          <w:rFonts w:ascii="Times New Roman" w:hAnsi="Times New Roman" w:cs="Times New Roman"/>
          <w:lang w:val="fr-FR"/>
        </w:rPr>
        <w:t xml:space="preserve"> </w:t>
      </w:r>
    </w:p>
    <w:p w14:paraId="60F7B375" w14:textId="77777777" w:rsidR="00DA1A61" w:rsidRPr="008013F5" w:rsidRDefault="00DA1A61" w:rsidP="00C23757">
      <w:pPr>
        <w:rPr>
          <w:lang w:val="fr-FR"/>
        </w:rPr>
      </w:pPr>
    </w:p>
    <w:p w14:paraId="565E3FFA" w14:textId="77777777" w:rsidR="00476FA4" w:rsidRPr="008013F5" w:rsidRDefault="00BF6F90">
      <w:pPr>
        <w:pStyle w:val="Heading2"/>
        <w:numPr>
          <w:ilvl w:val="0"/>
          <w:numId w:val="10"/>
        </w:numPr>
        <w:jc w:val="both"/>
        <w:rPr>
          <w:rFonts w:ascii="Times New Roman" w:hAnsi="Times New Roman" w:cs="Times New Roman"/>
          <w:b/>
          <w:bCs/>
          <w:sz w:val="25"/>
          <w:szCs w:val="25"/>
          <w:lang w:val="fr-FR"/>
        </w:rPr>
      </w:pPr>
      <w:bookmarkStart w:id="23" w:name="_Toc183474631"/>
      <w:bookmarkStart w:id="24" w:name="_Toc183474632"/>
      <w:bookmarkStart w:id="25" w:name="_Toc183474633"/>
      <w:bookmarkStart w:id="26" w:name="_Toc183474634"/>
      <w:bookmarkStart w:id="27" w:name="_Toc177562451"/>
      <w:bookmarkStart w:id="28" w:name="_Toc177562543"/>
      <w:bookmarkStart w:id="29" w:name="_Toc183474635"/>
      <w:bookmarkEnd w:id="23"/>
      <w:bookmarkEnd w:id="24"/>
      <w:bookmarkEnd w:id="25"/>
      <w:bookmarkEnd w:id="26"/>
      <w:r w:rsidRPr="008013F5">
        <w:rPr>
          <w:rFonts w:ascii="Times New Roman" w:hAnsi="Times New Roman" w:cs="Times New Roman"/>
          <w:b/>
          <w:bCs/>
          <w:sz w:val="25"/>
          <w:szCs w:val="25"/>
          <w:lang w:val="fr-FR"/>
        </w:rPr>
        <w:lastRenderedPageBreak/>
        <w:t>Exigences pour le(s) évaluateur(s)</w:t>
      </w:r>
      <w:bookmarkEnd w:id="27"/>
      <w:bookmarkEnd w:id="28"/>
      <w:bookmarkEnd w:id="29"/>
    </w:p>
    <w:p w14:paraId="78C931DC" w14:textId="73C4E614" w:rsidR="00476FA4" w:rsidRPr="008013F5" w:rsidRDefault="00BF6F90">
      <w:pPr>
        <w:pStyle w:val="NormalWeb"/>
        <w:shd w:val="clear" w:color="auto" w:fill="FFFFFF"/>
        <w:jc w:val="both"/>
        <w:rPr>
          <w:lang w:val="fr-FR"/>
        </w:rPr>
      </w:pPr>
      <w:r w:rsidRPr="008013F5">
        <w:rPr>
          <w:lang w:val="fr-FR"/>
        </w:rPr>
        <w:t xml:space="preserve">Le(s) candidat(s) sélectionné(s) devra(ont) </w:t>
      </w:r>
      <w:r w:rsidR="000F02FD" w:rsidRPr="008013F5">
        <w:rPr>
          <w:lang w:val="fr-FR"/>
        </w:rPr>
        <w:t xml:space="preserve">faire preuve des compétences suivantes </w:t>
      </w:r>
      <w:r w:rsidR="00DD5574" w:rsidRPr="008013F5">
        <w:rPr>
          <w:lang w:val="fr-FR"/>
        </w:rPr>
        <w:t xml:space="preserve">(les équipes peuvent </w:t>
      </w:r>
      <w:r w:rsidR="00A33B02">
        <w:rPr>
          <w:lang w:val="fr-FR"/>
        </w:rPr>
        <w:t>démontrer que leurs</w:t>
      </w:r>
      <w:r w:rsidR="00DD5574" w:rsidRPr="008013F5">
        <w:rPr>
          <w:lang w:val="fr-FR"/>
        </w:rPr>
        <w:t xml:space="preserve"> compétences</w:t>
      </w:r>
      <w:r w:rsidR="00A33B02">
        <w:rPr>
          <w:lang w:val="fr-FR"/>
        </w:rPr>
        <w:t xml:space="preserve"> sont</w:t>
      </w:r>
      <w:r w:rsidR="00DD5574" w:rsidRPr="008013F5">
        <w:rPr>
          <w:lang w:val="fr-FR"/>
        </w:rPr>
        <w:t xml:space="preserve"> complémentaires) </w:t>
      </w:r>
      <w:r w:rsidRPr="008013F5">
        <w:rPr>
          <w:lang w:val="fr-FR"/>
        </w:rPr>
        <w:t>:</w:t>
      </w:r>
    </w:p>
    <w:p w14:paraId="598AAF2B" w14:textId="77777777" w:rsidR="00476FA4" w:rsidRPr="008013F5" w:rsidRDefault="00BF6F90">
      <w:pPr>
        <w:pStyle w:val="ListParagraph"/>
        <w:numPr>
          <w:ilvl w:val="1"/>
          <w:numId w:val="6"/>
        </w:numPr>
        <w:jc w:val="both"/>
        <w:rPr>
          <w:rFonts w:ascii="Times New Roman" w:hAnsi="Times New Roman" w:cs="Times New Roman"/>
          <w:lang w:val="fr-FR"/>
        </w:rPr>
      </w:pPr>
      <w:r w:rsidRPr="008013F5">
        <w:rPr>
          <w:rFonts w:ascii="Times New Roman" w:hAnsi="Times New Roman" w:cs="Times New Roman"/>
          <w:lang w:val="fr-FR"/>
        </w:rPr>
        <w:t xml:space="preserve">Avoir une expérience pratique de 2 à 6 ans dans </w:t>
      </w:r>
      <w:r w:rsidR="00764B82" w:rsidRPr="008013F5">
        <w:rPr>
          <w:rFonts w:ascii="Times New Roman" w:hAnsi="Times New Roman" w:cs="Times New Roman"/>
          <w:lang w:val="fr-FR"/>
        </w:rPr>
        <w:t xml:space="preserve">la conception et la mise en œuvre d'évaluations dans un sujet et </w:t>
      </w:r>
      <w:proofErr w:type="gramStart"/>
      <w:r w:rsidR="00764B82" w:rsidRPr="008013F5">
        <w:rPr>
          <w:rFonts w:ascii="Times New Roman" w:hAnsi="Times New Roman" w:cs="Times New Roman"/>
          <w:lang w:val="fr-FR"/>
        </w:rPr>
        <w:t>un contexte similaires</w:t>
      </w:r>
      <w:proofErr w:type="gramEnd"/>
      <w:r w:rsidR="00764B82" w:rsidRPr="008013F5">
        <w:rPr>
          <w:rFonts w:ascii="Times New Roman" w:hAnsi="Times New Roman" w:cs="Times New Roman"/>
          <w:lang w:val="fr-FR"/>
        </w:rPr>
        <w:t xml:space="preserve">, </w:t>
      </w:r>
      <w:r w:rsidRPr="008013F5">
        <w:rPr>
          <w:rFonts w:ascii="Times New Roman" w:hAnsi="Times New Roman" w:cs="Times New Roman"/>
          <w:lang w:val="fr-FR"/>
        </w:rPr>
        <w:t>et en particulier dans les travaux d'évaluation axés sur l'apprentissage.</w:t>
      </w:r>
    </w:p>
    <w:p w14:paraId="386EF431" w14:textId="77777777" w:rsidR="00476FA4" w:rsidRPr="008013F5" w:rsidRDefault="00BF6F90">
      <w:pPr>
        <w:pStyle w:val="ListParagraph"/>
        <w:numPr>
          <w:ilvl w:val="1"/>
          <w:numId w:val="6"/>
        </w:numPr>
        <w:jc w:val="both"/>
        <w:rPr>
          <w:rFonts w:ascii="Times New Roman" w:hAnsi="Times New Roman" w:cs="Times New Roman"/>
          <w:lang w:val="fr-FR"/>
        </w:rPr>
      </w:pPr>
      <w:r w:rsidRPr="008013F5">
        <w:rPr>
          <w:rFonts w:ascii="Times New Roman" w:hAnsi="Times New Roman" w:cs="Times New Roman"/>
          <w:lang w:val="fr-FR"/>
        </w:rPr>
        <w:t xml:space="preserve">Avoir 3 à 6 ans d'expérience pratique dans la conduite de processus participatifs dans des </w:t>
      </w:r>
      <w:r w:rsidR="004C4994" w:rsidRPr="008013F5">
        <w:rPr>
          <w:rFonts w:ascii="Times New Roman" w:hAnsi="Times New Roman" w:cs="Times New Roman"/>
          <w:lang w:val="fr-FR"/>
        </w:rPr>
        <w:t>zones de conflit</w:t>
      </w:r>
      <w:r w:rsidRPr="008013F5">
        <w:rPr>
          <w:rFonts w:ascii="Times New Roman" w:hAnsi="Times New Roman" w:cs="Times New Roman"/>
          <w:lang w:val="fr-FR"/>
        </w:rPr>
        <w:t>.</w:t>
      </w:r>
    </w:p>
    <w:p w14:paraId="139AC10A" w14:textId="77777777" w:rsidR="00476FA4" w:rsidRPr="008013F5" w:rsidRDefault="00BF6F90">
      <w:pPr>
        <w:pStyle w:val="ListParagraph"/>
        <w:numPr>
          <w:ilvl w:val="1"/>
          <w:numId w:val="6"/>
        </w:numPr>
        <w:jc w:val="both"/>
        <w:rPr>
          <w:rFonts w:ascii="Times New Roman" w:hAnsi="Times New Roman" w:cs="Times New Roman"/>
          <w:lang w:val="fr-FR"/>
        </w:rPr>
      </w:pPr>
      <w:r w:rsidRPr="008013F5">
        <w:rPr>
          <w:rFonts w:ascii="Times New Roman" w:hAnsi="Times New Roman" w:cs="Times New Roman"/>
          <w:lang w:val="fr-FR"/>
        </w:rPr>
        <w:t>Démontrer une bonne compréhension de l'approche basée sur les droits de l'homme ainsi que des approches et des outils tenant compte de la dimension de genre</w:t>
      </w:r>
    </w:p>
    <w:p w14:paraId="32EC49D1" w14:textId="77777777" w:rsidR="00476FA4" w:rsidRPr="008013F5" w:rsidRDefault="00BF6F90">
      <w:pPr>
        <w:pStyle w:val="ListParagraph"/>
        <w:numPr>
          <w:ilvl w:val="1"/>
          <w:numId w:val="6"/>
        </w:numPr>
        <w:jc w:val="both"/>
        <w:rPr>
          <w:rFonts w:ascii="Times New Roman" w:hAnsi="Times New Roman" w:cs="Times New Roman"/>
          <w:lang w:val="fr-FR"/>
        </w:rPr>
      </w:pPr>
      <w:r w:rsidRPr="008013F5">
        <w:rPr>
          <w:rFonts w:ascii="Times New Roman" w:hAnsi="Times New Roman" w:cs="Times New Roman"/>
          <w:lang w:val="fr-FR"/>
        </w:rPr>
        <w:t xml:space="preserve">Avoir une expérience pratique de 1 à 3 ans sur des thèmes tels que la consolidation de la paix, la gouvernance, l'extrémisme violent, etc. </w:t>
      </w:r>
    </w:p>
    <w:p w14:paraId="2DD89EB5" w14:textId="77777777" w:rsidR="00476FA4" w:rsidRPr="008013F5" w:rsidRDefault="00BF6F90">
      <w:pPr>
        <w:pStyle w:val="ListParagraph"/>
        <w:numPr>
          <w:ilvl w:val="1"/>
          <w:numId w:val="6"/>
        </w:numPr>
        <w:jc w:val="both"/>
        <w:rPr>
          <w:rFonts w:ascii="Times New Roman" w:hAnsi="Times New Roman" w:cs="Times New Roman"/>
          <w:lang w:val="fr-FR"/>
        </w:rPr>
      </w:pPr>
      <w:r w:rsidRPr="008013F5">
        <w:rPr>
          <w:rFonts w:ascii="Times New Roman" w:hAnsi="Times New Roman" w:cs="Times New Roman"/>
          <w:lang w:val="fr-FR"/>
        </w:rPr>
        <w:t xml:space="preserve">Parler le </w:t>
      </w:r>
      <w:r w:rsidR="00073A46" w:rsidRPr="008013F5">
        <w:rPr>
          <w:rFonts w:ascii="Times New Roman" w:hAnsi="Times New Roman" w:cs="Times New Roman"/>
          <w:lang w:val="fr-FR"/>
        </w:rPr>
        <w:t xml:space="preserve">français (essentiel) </w:t>
      </w:r>
      <w:r w:rsidR="00E8308B" w:rsidRPr="008013F5">
        <w:rPr>
          <w:rFonts w:ascii="Times New Roman" w:hAnsi="Times New Roman" w:cs="Times New Roman"/>
          <w:lang w:val="fr-FR"/>
        </w:rPr>
        <w:t xml:space="preserve">et/ou le </w:t>
      </w:r>
      <w:proofErr w:type="spellStart"/>
      <w:r w:rsidRPr="008013F5">
        <w:rPr>
          <w:rFonts w:ascii="Times New Roman" w:hAnsi="Times New Roman" w:cs="Times New Roman"/>
          <w:lang w:val="fr-FR"/>
        </w:rPr>
        <w:t>bamanakan</w:t>
      </w:r>
      <w:proofErr w:type="spellEnd"/>
      <w:r w:rsidRPr="008013F5">
        <w:rPr>
          <w:rFonts w:ascii="Times New Roman" w:hAnsi="Times New Roman" w:cs="Times New Roman"/>
          <w:lang w:val="fr-FR"/>
        </w:rPr>
        <w:t xml:space="preserve"> et d'autres langues régionales pertinentes pour l'</w:t>
      </w:r>
      <w:r w:rsidR="00073A46" w:rsidRPr="008013F5">
        <w:rPr>
          <w:rFonts w:ascii="Times New Roman" w:hAnsi="Times New Roman" w:cs="Times New Roman"/>
          <w:lang w:val="fr-FR"/>
        </w:rPr>
        <w:t xml:space="preserve">évaluation (souhaitable). </w:t>
      </w:r>
    </w:p>
    <w:p w14:paraId="6A4D600A" w14:textId="77777777" w:rsidR="00476FA4" w:rsidRPr="008013F5" w:rsidRDefault="00BF6F90">
      <w:pPr>
        <w:pStyle w:val="ListParagraph"/>
        <w:numPr>
          <w:ilvl w:val="1"/>
          <w:numId w:val="6"/>
        </w:numPr>
        <w:jc w:val="both"/>
        <w:rPr>
          <w:lang w:val="fr-FR"/>
        </w:rPr>
      </w:pPr>
      <w:r w:rsidRPr="008013F5">
        <w:rPr>
          <w:rFonts w:ascii="Times New Roman" w:hAnsi="Times New Roman" w:cs="Times New Roman"/>
          <w:lang w:val="fr-FR"/>
        </w:rPr>
        <w:t xml:space="preserve">Avoir une expérience pratique de 1 à 3 ans sur des thèmes tels que la consolidation de la paix, la gouvernance, l'extrémisme violent, etc. </w:t>
      </w:r>
    </w:p>
    <w:p w14:paraId="4D28FB35" w14:textId="77777777" w:rsidR="00994D3F" w:rsidRPr="008013F5" w:rsidRDefault="00994D3F" w:rsidP="00994D3F">
      <w:pPr>
        <w:pStyle w:val="ListParagraph"/>
        <w:ind w:left="1440"/>
        <w:jc w:val="both"/>
        <w:rPr>
          <w:lang w:val="fr-FR"/>
        </w:rPr>
      </w:pPr>
    </w:p>
    <w:p w14:paraId="356A5B1E" w14:textId="7777777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Les candidats doivent fournir une déclaration de </w:t>
      </w:r>
      <w:r w:rsidR="001D1B77" w:rsidRPr="008013F5">
        <w:rPr>
          <w:rFonts w:ascii="Times New Roman" w:hAnsi="Times New Roman" w:cs="Times New Roman"/>
          <w:lang w:val="fr-FR"/>
        </w:rPr>
        <w:t xml:space="preserve">conflit d'intérêts </w:t>
      </w:r>
      <w:r w:rsidRPr="008013F5">
        <w:rPr>
          <w:rFonts w:ascii="Times New Roman" w:hAnsi="Times New Roman" w:cs="Times New Roman"/>
          <w:lang w:val="fr-FR"/>
        </w:rPr>
        <w:t xml:space="preserve">indiquant qu'ils </w:t>
      </w:r>
      <w:r w:rsidR="00A93FAF" w:rsidRPr="008013F5">
        <w:rPr>
          <w:rFonts w:ascii="Times New Roman" w:hAnsi="Times New Roman" w:cs="Times New Roman"/>
          <w:lang w:val="fr-FR"/>
        </w:rPr>
        <w:t xml:space="preserve">n'ont pas </w:t>
      </w:r>
      <w:r w:rsidRPr="008013F5">
        <w:rPr>
          <w:rFonts w:ascii="Times New Roman" w:hAnsi="Times New Roman" w:cs="Times New Roman"/>
          <w:lang w:val="fr-FR"/>
        </w:rPr>
        <w:t>participé à la conception ou à la mise en œuvre du projet et qu'ils ne sont pas impliqués dans le projet évalué.</w:t>
      </w:r>
    </w:p>
    <w:p w14:paraId="22122954" w14:textId="77777777" w:rsidR="000F02FD" w:rsidRPr="008013F5" w:rsidRDefault="000F02FD" w:rsidP="001D1B77">
      <w:pPr>
        <w:jc w:val="both"/>
        <w:rPr>
          <w:rFonts w:ascii="Times New Roman" w:hAnsi="Times New Roman" w:cs="Times New Roman"/>
          <w:lang w:val="fr-FR"/>
        </w:rPr>
      </w:pPr>
    </w:p>
    <w:p w14:paraId="4C364E90" w14:textId="77777777" w:rsidR="00476FA4" w:rsidRPr="008013F5" w:rsidRDefault="00BF6F90">
      <w:pPr>
        <w:pStyle w:val="Heading2"/>
        <w:numPr>
          <w:ilvl w:val="0"/>
          <w:numId w:val="10"/>
        </w:numPr>
        <w:jc w:val="both"/>
        <w:rPr>
          <w:rFonts w:ascii="Times New Roman" w:hAnsi="Times New Roman" w:cs="Times New Roman"/>
          <w:b/>
          <w:bCs/>
          <w:sz w:val="25"/>
          <w:szCs w:val="25"/>
          <w:lang w:val="fr-FR"/>
        </w:rPr>
      </w:pPr>
      <w:bookmarkStart w:id="30" w:name="_Toc177562452"/>
      <w:bookmarkStart w:id="31" w:name="_Toc177562544"/>
      <w:bookmarkStart w:id="32" w:name="_Toc183474636"/>
      <w:r w:rsidRPr="008013F5">
        <w:rPr>
          <w:rFonts w:ascii="Times New Roman" w:hAnsi="Times New Roman" w:cs="Times New Roman"/>
          <w:b/>
          <w:bCs/>
          <w:sz w:val="25"/>
          <w:szCs w:val="25"/>
          <w:lang w:val="fr-FR"/>
        </w:rPr>
        <w:t>Spécifications pour la soumission des offres</w:t>
      </w:r>
      <w:bookmarkEnd w:id="30"/>
      <w:bookmarkEnd w:id="31"/>
      <w:bookmarkEnd w:id="32"/>
    </w:p>
    <w:p w14:paraId="5A70BAC9" w14:textId="77777777" w:rsidR="00476FA4" w:rsidRPr="008013F5" w:rsidRDefault="00BF6F90">
      <w:pPr>
        <w:jc w:val="both"/>
        <w:rPr>
          <w:rFonts w:ascii="Times New Roman" w:hAnsi="Times New Roman" w:cs="Times New Roman"/>
          <w:b/>
          <w:bCs/>
          <w:lang w:val="fr-FR"/>
        </w:rPr>
      </w:pPr>
      <w:r w:rsidRPr="008013F5">
        <w:rPr>
          <w:rFonts w:ascii="Times New Roman" w:hAnsi="Times New Roman" w:cs="Times New Roman"/>
          <w:b/>
          <w:bCs/>
          <w:lang w:val="fr-FR"/>
        </w:rPr>
        <w:t>Étape 1 - présélection</w:t>
      </w:r>
    </w:p>
    <w:p w14:paraId="31BA8E02" w14:textId="7777777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Les candidats et les équipes intéressés doivent fournir les </w:t>
      </w:r>
      <w:r w:rsidRPr="008013F5">
        <w:rPr>
          <w:rFonts w:ascii="Times New Roman" w:hAnsi="Times New Roman" w:cs="Times New Roman"/>
          <w:b/>
          <w:bCs/>
          <w:lang w:val="fr-FR"/>
        </w:rPr>
        <w:t xml:space="preserve">CV de tous les consultants impliqués, ainsi que leurs rôles respectifs au sein de l'équipe, </w:t>
      </w:r>
      <w:r w:rsidR="00716AD4" w:rsidRPr="008013F5">
        <w:rPr>
          <w:rFonts w:ascii="Times New Roman" w:hAnsi="Times New Roman" w:cs="Times New Roman"/>
          <w:b/>
          <w:bCs/>
          <w:lang w:val="fr-FR"/>
        </w:rPr>
        <w:t xml:space="preserve">et </w:t>
      </w:r>
      <w:r w:rsidRPr="008013F5">
        <w:rPr>
          <w:rFonts w:ascii="Times New Roman" w:hAnsi="Times New Roman" w:cs="Times New Roman"/>
          <w:b/>
          <w:bCs/>
          <w:lang w:val="fr-FR"/>
        </w:rPr>
        <w:t xml:space="preserve">une lettre d'intention </w:t>
      </w:r>
      <w:r w:rsidRPr="008013F5">
        <w:rPr>
          <w:rFonts w:ascii="Times New Roman" w:hAnsi="Times New Roman" w:cs="Times New Roman"/>
          <w:lang w:val="fr-FR"/>
        </w:rPr>
        <w:t>décrivant leur approche de ce travail et la manière dont leur expérience leur permet de le mener à bien de manière qualitative (2 pages maximum).</w:t>
      </w:r>
    </w:p>
    <w:p w14:paraId="5CE6A629" w14:textId="7777777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La soumission des CV </w:t>
      </w:r>
      <w:r w:rsidR="00B75323" w:rsidRPr="008013F5">
        <w:rPr>
          <w:rFonts w:ascii="Times New Roman" w:hAnsi="Times New Roman" w:cs="Times New Roman"/>
          <w:lang w:val="fr-FR"/>
        </w:rPr>
        <w:t xml:space="preserve">et lettres </w:t>
      </w:r>
      <w:r w:rsidRPr="008013F5">
        <w:rPr>
          <w:rFonts w:ascii="Times New Roman" w:hAnsi="Times New Roman" w:cs="Times New Roman"/>
          <w:lang w:val="fr-FR"/>
        </w:rPr>
        <w:t xml:space="preserve">est ouverte jusqu'au </w:t>
      </w:r>
      <w:r w:rsidR="00227C79" w:rsidRPr="008013F5">
        <w:rPr>
          <w:rFonts w:ascii="Times New Roman" w:hAnsi="Times New Roman" w:cs="Times New Roman"/>
          <w:b/>
          <w:bCs/>
          <w:lang w:val="fr-FR"/>
        </w:rPr>
        <w:t xml:space="preserve">17 </w:t>
      </w:r>
      <w:r w:rsidR="00F1488E" w:rsidRPr="008013F5">
        <w:rPr>
          <w:rFonts w:ascii="Times New Roman" w:hAnsi="Times New Roman" w:cs="Times New Roman"/>
          <w:b/>
          <w:bCs/>
          <w:lang w:val="fr-FR"/>
        </w:rPr>
        <w:t xml:space="preserve">décembre </w:t>
      </w:r>
      <w:r w:rsidRPr="008013F5">
        <w:rPr>
          <w:rFonts w:ascii="Times New Roman" w:hAnsi="Times New Roman" w:cs="Times New Roman"/>
          <w:b/>
          <w:bCs/>
          <w:lang w:val="fr-FR"/>
        </w:rPr>
        <w:t xml:space="preserve">2024 à </w:t>
      </w:r>
      <w:r w:rsidR="00F54649" w:rsidRPr="008013F5">
        <w:rPr>
          <w:rFonts w:ascii="Times New Roman" w:hAnsi="Times New Roman" w:cs="Times New Roman"/>
          <w:b/>
          <w:bCs/>
          <w:lang w:val="fr-FR"/>
        </w:rPr>
        <w:t xml:space="preserve">07h59 </w:t>
      </w:r>
      <w:r w:rsidRPr="008013F5">
        <w:rPr>
          <w:rFonts w:ascii="Times New Roman" w:hAnsi="Times New Roman" w:cs="Times New Roman"/>
          <w:lang w:val="fr-FR"/>
        </w:rPr>
        <w:t xml:space="preserve">heure de Bamako. </w:t>
      </w:r>
      <w:r w:rsidRPr="008013F5">
        <w:rPr>
          <w:rFonts w:ascii="Times New Roman" w:hAnsi="Times New Roman" w:cs="Times New Roman"/>
          <w:lang w:val="fr-FR"/>
        </w:rPr>
        <w:br/>
        <w:t xml:space="preserve">Les candidats présélectionnés seront contactés </w:t>
      </w:r>
      <w:r w:rsidR="006404F2" w:rsidRPr="008013F5">
        <w:rPr>
          <w:rFonts w:ascii="Times New Roman" w:hAnsi="Times New Roman" w:cs="Times New Roman"/>
          <w:lang w:val="fr-FR"/>
        </w:rPr>
        <w:t xml:space="preserve">avant le </w:t>
      </w:r>
      <w:r w:rsidR="00FC548D" w:rsidRPr="008013F5">
        <w:rPr>
          <w:rFonts w:ascii="Times New Roman" w:hAnsi="Times New Roman" w:cs="Times New Roman"/>
          <w:lang w:val="fr-FR"/>
        </w:rPr>
        <w:t xml:space="preserve">20 </w:t>
      </w:r>
      <w:r w:rsidR="006404F2" w:rsidRPr="008013F5">
        <w:rPr>
          <w:rFonts w:ascii="Times New Roman" w:hAnsi="Times New Roman" w:cs="Times New Roman"/>
          <w:lang w:val="fr-FR"/>
        </w:rPr>
        <w:t xml:space="preserve">décembre </w:t>
      </w:r>
      <w:r w:rsidRPr="008013F5">
        <w:rPr>
          <w:rFonts w:ascii="Times New Roman" w:hAnsi="Times New Roman" w:cs="Times New Roman"/>
          <w:lang w:val="fr-FR"/>
        </w:rPr>
        <w:t>pour soumettre une candidature complète.</w:t>
      </w:r>
    </w:p>
    <w:p w14:paraId="17815F05" w14:textId="7777777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Toutes les candidatures doivent être envoyées à </w:t>
      </w:r>
      <w:r w:rsidR="00192954" w:rsidRPr="008013F5">
        <w:rPr>
          <w:rFonts w:ascii="Times New Roman" w:hAnsi="Times New Roman" w:cs="Times New Roman"/>
          <w:lang w:val="fr-FR"/>
        </w:rPr>
        <w:t>mali@international-alert.org</w:t>
      </w:r>
    </w:p>
    <w:p w14:paraId="5926FA69" w14:textId="77777777" w:rsidR="00476FA4" w:rsidRPr="008013F5" w:rsidRDefault="003329A0">
      <w:pPr>
        <w:rPr>
          <w:rFonts w:ascii="Times New Roman" w:hAnsi="Times New Roman" w:cs="Times New Roman"/>
          <w:lang w:val="fr-FR"/>
        </w:rPr>
      </w:pPr>
      <w:r w:rsidRPr="008013F5">
        <w:rPr>
          <w:rFonts w:ascii="Times New Roman" w:hAnsi="Times New Roman" w:cs="Times New Roman"/>
          <w:lang w:val="fr-FR"/>
        </w:rPr>
        <w:t xml:space="preserve"> Les équipes </w:t>
      </w:r>
      <w:r w:rsidR="005D4017" w:rsidRPr="008013F5">
        <w:rPr>
          <w:rFonts w:ascii="Times New Roman" w:hAnsi="Times New Roman" w:cs="Times New Roman"/>
          <w:lang w:val="fr-FR"/>
        </w:rPr>
        <w:t>locales, féminines et ethniquement diversifiées sont vivement encouragées à poser leur candidature.</w:t>
      </w:r>
    </w:p>
    <w:p w14:paraId="2A798576" w14:textId="6A222189" w:rsidR="00DD5574" w:rsidRPr="008013F5" w:rsidRDefault="00DD5574" w:rsidP="001D1B77">
      <w:pPr>
        <w:jc w:val="both"/>
        <w:rPr>
          <w:rFonts w:ascii="Times New Roman" w:hAnsi="Times New Roman" w:cs="Times New Roman"/>
          <w:lang w:val="fr-FR"/>
        </w:rPr>
      </w:pPr>
    </w:p>
    <w:p w14:paraId="476185CE" w14:textId="77777777" w:rsidR="00476FA4" w:rsidRPr="008013F5" w:rsidRDefault="00BF6F90">
      <w:pPr>
        <w:jc w:val="both"/>
        <w:rPr>
          <w:rFonts w:ascii="Times New Roman" w:hAnsi="Times New Roman" w:cs="Times New Roman"/>
          <w:b/>
          <w:bCs/>
          <w:lang w:val="fr-FR"/>
        </w:rPr>
      </w:pPr>
      <w:r w:rsidRPr="008013F5">
        <w:rPr>
          <w:rFonts w:ascii="Times New Roman" w:hAnsi="Times New Roman" w:cs="Times New Roman"/>
          <w:b/>
          <w:bCs/>
          <w:lang w:val="fr-FR"/>
        </w:rPr>
        <w:t>Étape 2 - proposition complète</w:t>
      </w:r>
    </w:p>
    <w:p w14:paraId="03570CC0" w14:textId="7777777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Les candidatures complètes doivent contenir une approche méthodologique conforme aux informations sur </w:t>
      </w:r>
      <w:proofErr w:type="gramStart"/>
      <w:r w:rsidRPr="008013F5">
        <w:rPr>
          <w:rFonts w:ascii="Times New Roman" w:hAnsi="Times New Roman" w:cs="Times New Roman"/>
          <w:lang w:val="fr-FR"/>
        </w:rPr>
        <w:t>le projet fournies</w:t>
      </w:r>
      <w:proofErr w:type="gramEnd"/>
      <w:r w:rsidRPr="008013F5">
        <w:rPr>
          <w:rFonts w:ascii="Times New Roman" w:hAnsi="Times New Roman" w:cs="Times New Roman"/>
          <w:lang w:val="fr-FR"/>
        </w:rPr>
        <w:t xml:space="preserve"> aux candidats présélectionnés (12 pages maximum). Elles doivent également contenir un calendrier et un budget détaillés incluant le personnel et tous les coûts des activités sur le terrain. Tous les coûts de cette consultation seront pris en charge par les consultants, y compris le temps, les déplacements, les locations, le matériel, etc.</w:t>
      </w:r>
    </w:p>
    <w:p w14:paraId="3D90DE38" w14:textId="7777777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Les candidatures complètes seront acceptées jusqu'au </w:t>
      </w:r>
      <w:r w:rsidR="001A4865" w:rsidRPr="008013F5">
        <w:rPr>
          <w:rFonts w:ascii="Times New Roman" w:hAnsi="Times New Roman" w:cs="Times New Roman"/>
          <w:b/>
          <w:bCs/>
          <w:lang w:val="fr-FR"/>
        </w:rPr>
        <w:t>03</w:t>
      </w:r>
      <w:r w:rsidR="00831481" w:rsidRPr="008013F5">
        <w:rPr>
          <w:rFonts w:ascii="Times New Roman" w:hAnsi="Times New Roman" w:cs="Times New Roman"/>
          <w:b/>
          <w:bCs/>
          <w:lang w:val="fr-FR"/>
        </w:rPr>
        <w:t xml:space="preserve"> janvier </w:t>
      </w:r>
      <w:r w:rsidR="008E3556" w:rsidRPr="008013F5">
        <w:rPr>
          <w:rFonts w:ascii="Times New Roman" w:hAnsi="Times New Roman" w:cs="Times New Roman"/>
          <w:b/>
          <w:bCs/>
          <w:lang w:val="fr-FR"/>
        </w:rPr>
        <w:t xml:space="preserve">à </w:t>
      </w:r>
      <w:r w:rsidR="00047010" w:rsidRPr="008013F5">
        <w:rPr>
          <w:rFonts w:ascii="Times New Roman" w:hAnsi="Times New Roman" w:cs="Times New Roman"/>
          <w:b/>
          <w:bCs/>
          <w:lang w:val="fr-FR"/>
        </w:rPr>
        <w:t>07h59</w:t>
      </w:r>
      <w:r w:rsidR="008E3556" w:rsidRPr="008013F5">
        <w:rPr>
          <w:rFonts w:ascii="Times New Roman" w:hAnsi="Times New Roman" w:cs="Times New Roman"/>
          <w:lang w:val="fr-FR"/>
        </w:rPr>
        <w:t>, heure de Bamako</w:t>
      </w:r>
      <w:r w:rsidR="00FE24BA" w:rsidRPr="008013F5">
        <w:rPr>
          <w:rFonts w:ascii="Times New Roman" w:hAnsi="Times New Roman" w:cs="Times New Roman"/>
          <w:lang w:val="fr-FR"/>
        </w:rPr>
        <w:t xml:space="preserve">. </w:t>
      </w:r>
      <w:r w:rsidRPr="008013F5">
        <w:rPr>
          <w:rFonts w:ascii="Times New Roman" w:hAnsi="Times New Roman" w:cs="Times New Roman"/>
          <w:lang w:val="fr-FR"/>
        </w:rPr>
        <w:t xml:space="preserve">Les entretiens auront lieu les </w:t>
      </w:r>
      <w:r w:rsidR="00A51608" w:rsidRPr="008013F5">
        <w:rPr>
          <w:rFonts w:ascii="Times New Roman" w:hAnsi="Times New Roman" w:cs="Times New Roman"/>
          <w:lang w:val="fr-FR"/>
        </w:rPr>
        <w:t xml:space="preserve">6 et 7 </w:t>
      </w:r>
      <w:r w:rsidR="00831481" w:rsidRPr="008013F5">
        <w:rPr>
          <w:rFonts w:ascii="Times New Roman" w:hAnsi="Times New Roman" w:cs="Times New Roman"/>
          <w:lang w:val="fr-FR"/>
        </w:rPr>
        <w:t>janvier</w:t>
      </w:r>
      <w:r w:rsidRPr="008013F5">
        <w:rPr>
          <w:rFonts w:ascii="Times New Roman" w:hAnsi="Times New Roman" w:cs="Times New Roman"/>
          <w:lang w:val="fr-FR"/>
        </w:rPr>
        <w:t>.</w:t>
      </w:r>
    </w:p>
    <w:p w14:paraId="79A9D438" w14:textId="77777777" w:rsidR="00476FA4" w:rsidRPr="008013F5" w:rsidRDefault="00BF6F90">
      <w:pPr>
        <w:rPr>
          <w:lang w:val="fr-FR"/>
        </w:rPr>
      </w:pPr>
      <w:r w:rsidRPr="008013F5">
        <w:rPr>
          <w:rFonts w:ascii="Times New Roman" w:hAnsi="Times New Roman" w:cs="Times New Roman"/>
          <w:lang w:val="fr-FR"/>
        </w:rPr>
        <w:lastRenderedPageBreak/>
        <w:t xml:space="preserve">Une décision sera prise et communiquée aux candidats présélectionnés d'ici le </w:t>
      </w:r>
      <w:r w:rsidR="00B100F7" w:rsidRPr="008013F5">
        <w:rPr>
          <w:rFonts w:ascii="Times New Roman" w:hAnsi="Times New Roman" w:cs="Times New Roman"/>
          <w:lang w:val="fr-FR"/>
        </w:rPr>
        <w:t>9 janvier</w:t>
      </w:r>
      <w:r w:rsidRPr="008013F5">
        <w:rPr>
          <w:rFonts w:ascii="Times New Roman" w:hAnsi="Times New Roman" w:cs="Times New Roman"/>
          <w:lang w:val="fr-FR"/>
        </w:rPr>
        <w:t xml:space="preserve">. </w:t>
      </w:r>
      <w:r w:rsidR="00A43738" w:rsidRPr="008013F5">
        <w:rPr>
          <w:rFonts w:ascii="Times New Roman" w:hAnsi="Times New Roman" w:cs="Times New Roman"/>
          <w:lang w:val="fr-FR"/>
        </w:rPr>
        <w:t>International Alert informera tous les soumissionnaires présélectionnés de la décision d'attribution.</w:t>
      </w:r>
    </w:p>
    <w:p w14:paraId="3F932295" w14:textId="77777777" w:rsidR="00DD5574" w:rsidRPr="008013F5" w:rsidRDefault="00DD5574" w:rsidP="00C23757">
      <w:pPr>
        <w:jc w:val="both"/>
        <w:rPr>
          <w:rFonts w:ascii="Times New Roman" w:hAnsi="Times New Roman" w:cs="Times New Roman"/>
          <w:lang w:val="fr-FR"/>
        </w:rPr>
      </w:pPr>
    </w:p>
    <w:p w14:paraId="033F6C4C" w14:textId="63BB7C9B" w:rsidR="00476FA4" w:rsidRPr="008013F5" w:rsidRDefault="00E11A88">
      <w:pPr>
        <w:jc w:val="both"/>
        <w:rPr>
          <w:rFonts w:ascii="Times New Roman" w:hAnsi="Times New Roman" w:cs="Times New Roman"/>
          <w:lang w:val="fr-FR"/>
        </w:rPr>
      </w:pPr>
      <w:r w:rsidRPr="008013F5">
        <w:rPr>
          <w:rFonts w:ascii="Times New Roman" w:hAnsi="Times New Roman" w:cs="Times New Roman"/>
          <w:lang w:val="fr-FR"/>
        </w:rPr>
        <w:t xml:space="preserve">Le budget </w:t>
      </w:r>
      <w:r w:rsidR="00B100F7" w:rsidRPr="008013F5">
        <w:rPr>
          <w:rFonts w:ascii="Times New Roman" w:hAnsi="Times New Roman" w:cs="Times New Roman"/>
          <w:lang w:val="fr-FR"/>
        </w:rPr>
        <w:t xml:space="preserve">disponible </w:t>
      </w:r>
      <w:r w:rsidRPr="008013F5">
        <w:rPr>
          <w:rFonts w:ascii="Times New Roman" w:hAnsi="Times New Roman" w:cs="Times New Roman"/>
          <w:lang w:val="fr-FR"/>
        </w:rPr>
        <w:t xml:space="preserve">est de 25 </w:t>
      </w:r>
      <w:r w:rsidR="00702F28" w:rsidRPr="008013F5">
        <w:rPr>
          <w:rFonts w:ascii="Times New Roman" w:hAnsi="Times New Roman" w:cs="Times New Roman"/>
          <w:lang w:val="fr-FR"/>
        </w:rPr>
        <w:t xml:space="preserve">000 </w:t>
      </w:r>
      <w:r w:rsidRPr="008013F5">
        <w:rPr>
          <w:rFonts w:ascii="Times New Roman" w:hAnsi="Times New Roman" w:cs="Times New Roman"/>
          <w:lang w:val="fr-FR"/>
        </w:rPr>
        <w:t xml:space="preserve">euros </w:t>
      </w:r>
      <w:r w:rsidR="00B100F7" w:rsidRPr="008013F5">
        <w:rPr>
          <w:rFonts w:ascii="Times New Roman" w:hAnsi="Times New Roman" w:cs="Times New Roman"/>
          <w:lang w:val="fr-FR"/>
        </w:rPr>
        <w:t xml:space="preserve">maximum </w:t>
      </w:r>
      <w:r w:rsidR="00702F28" w:rsidRPr="008013F5">
        <w:rPr>
          <w:rFonts w:ascii="Times New Roman" w:hAnsi="Times New Roman" w:cs="Times New Roman"/>
          <w:lang w:val="fr-FR"/>
        </w:rPr>
        <w:t xml:space="preserve">(y compris les </w:t>
      </w:r>
      <w:r w:rsidR="00523362" w:rsidRPr="008013F5">
        <w:rPr>
          <w:rFonts w:ascii="Times New Roman" w:hAnsi="Times New Roman" w:cs="Times New Roman"/>
          <w:lang w:val="fr-FR"/>
        </w:rPr>
        <w:t xml:space="preserve">honoraires des consultants, les </w:t>
      </w:r>
      <w:r w:rsidR="00702F28" w:rsidRPr="008013F5">
        <w:rPr>
          <w:rFonts w:ascii="Times New Roman" w:hAnsi="Times New Roman" w:cs="Times New Roman"/>
          <w:lang w:val="fr-FR"/>
        </w:rPr>
        <w:t>frais de voyage, les indemnités journalières, les frais de chauffeur, de traducteur, etc.</w:t>
      </w:r>
      <w:r w:rsidR="00A33B02">
        <w:rPr>
          <w:rFonts w:ascii="Times New Roman" w:hAnsi="Times New Roman" w:cs="Times New Roman"/>
          <w:lang w:val="fr-FR"/>
        </w:rPr>
        <w:t>)</w:t>
      </w:r>
    </w:p>
    <w:p w14:paraId="7DF48C8D" w14:textId="77777777" w:rsidR="002A0E42" w:rsidRPr="008013F5" w:rsidRDefault="002A0E42" w:rsidP="00DD5574">
      <w:pPr>
        <w:jc w:val="both"/>
        <w:rPr>
          <w:rFonts w:ascii="Times New Roman" w:hAnsi="Times New Roman" w:cs="Times New Roman"/>
          <w:lang w:val="fr-FR"/>
        </w:rPr>
      </w:pPr>
    </w:p>
    <w:p w14:paraId="332A4E24" w14:textId="77777777" w:rsidR="00476FA4" w:rsidRPr="008013F5" w:rsidRDefault="00BF6F90">
      <w:pPr>
        <w:jc w:val="both"/>
        <w:rPr>
          <w:rFonts w:ascii="Times New Roman" w:hAnsi="Times New Roman" w:cs="Times New Roman"/>
          <w:b/>
          <w:bCs/>
          <w:lang w:val="fr-FR"/>
        </w:rPr>
      </w:pPr>
      <w:r w:rsidRPr="008013F5">
        <w:rPr>
          <w:rFonts w:ascii="Times New Roman" w:hAnsi="Times New Roman" w:cs="Times New Roman"/>
          <w:b/>
          <w:bCs/>
          <w:lang w:val="fr-FR"/>
        </w:rPr>
        <w:t>Critères de notation</w:t>
      </w:r>
    </w:p>
    <w:p w14:paraId="79048D33" w14:textId="4F0A4323"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Les propositions reçues </w:t>
      </w:r>
      <w:r w:rsidR="002E7C26" w:rsidRPr="008013F5">
        <w:rPr>
          <w:rFonts w:ascii="Times New Roman" w:hAnsi="Times New Roman" w:cs="Times New Roman"/>
          <w:lang w:val="fr-FR"/>
        </w:rPr>
        <w:t xml:space="preserve">seront évaluées </w:t>
      </w:r>
      <w:r w:rsidR="003463A2" w:rsidRPr="008013F5">
        <w:rPr>
          <w:rFonts w:ascii="Times New Roman" w:hAnsi="Times New Roman" w:cs="Times New Roman"/>
          <w:lang w:val="fr-FR"/>
        </w:rPr>
        <w:t xml:space="preserve">en fonction de leur conformité aux présents </w:t>
      </w:r>
      <w:proofErr w:type="spellStart"/>
      <w:r w:rsidR="003463A2" w:rsidRPr="008013F5">
        <w:rPr>
          <w:rFonts w:ascii="Times New Roman" w:hAnsi="Times New Roman" w:cs="Times New Roman"/>
          <w:lang w:val="fr-FR"/>
        </w:rPr>
        <w:t>TdR</w:t>
      </w:r>
      <w:proofErr w:type="spellEnd"/>
      <w:r w:rsidR="003463A2" w:rsidRPr="008013F5">
        <w:rPr>
          <w:rFonts w:ascii="Times New Roman" w:hAnsi="Times New Roman" w:cs="Times New Roman"/>
          <w:lang w:val="fr-FR"/>
        </w:rPr>
        <w:t xml:space="preserve">, </w:t>
      </w:r>
      <w:r w:rsidR="00AC5B19" w:rsidRPr="008013F5">
        <w:rPr>
          <w:rFonts w:ascii="Times New Roman" w:hAnsi="Times New Roman" w:cs="Times New Roman"/>
          <w:lang w:val="fr-FR"/>
        </w:rPr>
        <w:t>ainsi qu'</w:t>
      </w:r>
      <w:r w:rsidR="003463A2" w:rsidRPr="008013F5">
        <w:rPr>
          <w:rFonts w:ascii="Times New Roman" w:hAnsi="Times New Roman" w:cs="Times New Roman"/>
          <w:lang w:val="fr-FR"/>
        </w:rPr>
        <w:t xml:space="preserve">à la politique </w:t>
      </w:r>
      <w:r w:rsidR="006270FF" w:rsidRPr="008013F5">
        <w:rPr>
          <w:rFonts w:ascii="Times New Roman" w:hAnsi="Times New Roman" w:cs="Times New Roman"/>
          <w:lang w:val="fr-FR"/>
        </w:rPr>
        <w:t xml:space="preserve">et aux </w:t>
      </w:r>
      <w:r w:rsidR="008C2A2C" w:rsidRPr="008013F5">
        <w:rPr>
          <w:rFonts w:ascii="Times New Roman" w:hAnsi="Times New Roman" w:cs="Times New Roman"/>
          <w:lang w:val="fr-FR"/>
        </w:rPr>
        <w:t xml:space="preserve">lignes directrices </w:t>
      </w:r>
      <w:r w:rsidR="008A5F33">
        <w:rPr>
          <w:rFonts w:ascii="Times New Roman" w:hAnsi="Times New Roman" w:cs="Times New Roman"/>
          <w:lang w:val="fr-FR"/>
        </w:rPr>
        <w:t>d’ADA</w:t>
      </w:r>
      <w:r w:rsidR="003463A2" w:rsidRPr="008013F5">
        <w:rPr>
          <w:rFonts w:ascii="Times New Roman" w:hAnsi="Times New Roman" w:cs="Times New Roman"/>
          <w:lang w:val="fr-FR"/>
        </w:rPr>
        <w:t xml:space="preserve"> en matière d'évaluation</w:t>
      </w:r>
      <w:r w:rsidR="00A33B02" w:rsidRPr="00C24F16">
        <w:rPr>
          <w:rStyle w:val="FootnoteReference"/>
          <w:rFonts w:ascii="Times New Roman" w:hAnsi="Times New Roman" w:cs="Times New Roman"/>
          <w:lang w:val="en-US"/>
        </w:rPr>
        <w:footnoteReference w:id="5"/>
      </w:r>
      <w:r w:rsidR="003463A2" w:rsidRPr="008013F5">
        <w:rPr>
          <w:rFonts w:ascii="Times New Roman" w:hAnsi="Times New Roman" w:cs="Times New Roman"/>
          <w:lang w:val="fr-FR"/>
        </w:rPr>
        <w:t>.</w:t>
      </w:r>
      <w:r w:rsidR="00A33B02" w:rsidRPr="00A33B02">
        <w:rPr>
          <w:rStyle w:val="FootnoteReference"/>
          <w:rFonts w:ascii="Times New Roman" w:hAnsi="Times New Roman" w:cs="Times New Roman"/>
          <w:lang w:val="fr-FR"/>
        </w:rPr>
        <w:t xml:space="preserve"> </w:t>
      </w:r>
    </w:p>
    <w:p w14:paraId="13D1D5F2" w14:textId="13AD62B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Le marché est attribué au soumissionnaire le plus avantageux sur le plan technique et économique (meilleur rapport qualité-prix). Les offres soumises seront évaluées selon les critères </w:t>
      </w:r>
      <w:r w:rsidR="00A33B02">
        <w:rPr>
          <w:rFonts w:ascii="Times New Roman" w:hAnsi="Times New Roman" w:cs="Times New Roman"/>
          <w:lang w:val="fr-FR"/>
        </w:rPr>
        <w:t xml:space="preserve">et la notation </w:t>
      </w:r>
      <w:r w:rsidRPr="008013F5">
        <w:rPr>
          <w:rFonts w:ascii="Times New Roman" w:hAnsi="Times New Roman" w:cs="Times New Roman"/>
          <w:lang w:val="fr-FR"/>
        </w:rPr>
        <w:t>suivants.</w:t>
      </w:r>
    </w:p>
    <w:p w14:paraId="087687D6" w14:textId="77777777" w:rsidR="00E335FF" w:rsidRPr="008013F5" w:rsidRDefault="00E335FF" w:rsidP="004C48DE">
      <w:pPr>
        <w:jc w:val="both"/>
        <w:rPr>
          <w:rFonts w:ascii="Times New Roman" w:hAnsi="Times New Roman" w:cs="Times New Roman"/>
          <w:lang w:val="fr-FR"/>
        </w:rPr>
      </w:pPr>
    </w:p>
    <w:tbl>
      <w:tblPr>
        <w:tblStyle w:val="TableGrid"/>
        <w:tblW w:w="9067" w:type="dxa"/>
        <w:jc w:val="center"/>
        <w:tblLook w:val="04A0" w:firstRow="1" w:lastRow="0" w:firstColumn="1" w:lastColumn="0" w:noHBand="0" w:noVBand="1"/>
      </w:tblPr>
      <w:tblGrid>
        <w:gridCol w:w="7792"/>
        <w:gridCol w:w="1275"/>
      </w:tblGrid>
      <w:tr w:rsidR="002A0E42" w:rsidRPr="00C24F16" w14:paraId="73AE3E56" w14:textId="77777777" w:rsidTr="007C3C18">
        <w:trPr>
          <w:jc w:val="center"/>
        </w:trPr>
        <w:tc>
          <w:tcPr>
            <w:tcW w:w="7792" w:type="dxa"/>
            <w:vAlign w:val="center"/>
          </w:tcPr>
          <w:p w14:paraId="740973BC" w14:textId="77777777" w:rsidR="00476FA4" w:rsidRDefault="00BF6F90">
            <w:pPr>
              <w:jc w:val="center"/>
              <w:rPr>
                <w:rFonts w:ascii="Times New Roman" w:hAnsi="Times New Roman" w:cs="Times New Roman"/>
                <w:b/>
                <w:bCs/>
              </w:rPr>
            </w:pPr>
            <w:r w:rsidRPr="00C24F16">
              <w:rPr>
                <w:rFonts w:ascii="Times New Roman" w:hAnsi="Times New Roman" w:cs="Times New Roman"/>
                <w:b/>
                <w:bCs/>
              </w:rPr>
              <w:t>Élément de la proposition</w:t>
            </w:r>
          </w:p>
        </w:tc>
        <w:tc>
          <w:tcPr>
            <w:tcW w:w="1275" w:type="dxa"/>
          </w:tcPr>
          <w:p w14:paraId="29A9F6CC" w14:textId="77777777" w:rsidR="00476FA4" w:rsidRDefault="00BF6F90">
            <w:pPr>
              <w:jc w:val="center"/>
              <w:rPr>
                <w:rFonts w:ascii="Times New Roman" w:hAnsi="Times New Roman" w:cs="Times New Roman"/>
                <w:b/>
                <w:bCs/>
              </w:rPr>
            </w:pPr>
            <w:r w:rsidRPr="00C24F16">
              <w:rPr>
                <w:rFonts w:ascii="Times New Roman" w:hAnsi="Times New Roman" w:cs="Times New Roman"/>
                <w:b/>
                <w:bCs/>
              </w:rPr>
              <w:t>Notation</w:t>
            </w:r>
          </w:p>
        </w:tc>
      </w:tr>
      <w:tr w:rsidR="000E3837" w:rsidRPr="00C24F16" w14:paraId="43EA00BB" w14:textId="77777777" w:rsidTr="007C3C18">
        <w:trPr>
          <w:jc w:val="center"/>
        </w:trPr>
        <w:tc>
          <w:tcPr>
            <w:tcW w:w="9067" w:type="dxa"/>
            <w:gridSpan w:val="2"/>
            <w:vAlign w:val="center"/>
          </w:tcPr>
          <w:p w14:paraId="786DC18E" w14:textId="77777777" w:rsidR="00476FA4" w:rsidRDefault="00BF6F90">
            <w:pPr>
              <w:jc w:val="center"/>
              <w:rPr>
                <w:rFonts w:ascii="Times New Roman" w:hAnsi="Times New Roman" w:cs="Times New Roman"/>
              </w:rPr>
            </w:pPr>
            <w:r w:rsidRPr="00C24F16">
              <w:rPr>
                <w:rFonts w:ascii="Times New Roman" w:hAnsi="Times New Roman" w:cs="Times New Roman"/>
              </w:rPr>
              <w:t>Premier tour</w:t>
            </w:r>
          </w:p>
        </w:tc>
      </w:tr>
      <w:tr w:rsidR="002A0E42" w:rsidRPr="00C24F16" w14:paraId="20D6430D" w14:textId="77777777" w:rsidTr="007C3C18">
        <w:trPr>
          <w:jc w:val="center"/>
        </w:trPr>
        <w:tc>
          <w:tcPr>
            <w:tcW w:w="7792" w:type="dxa"/>
          </w:tcPr>
          <w:p w14:paraId="25A74F70" w14:textId="77777777" w:rsidR="00476FA4" w:rsidRDefault="00BF6F90">
            <w:pPr>
              <w:jc w:val="both"/>
              <w:rPr>
                <w:rFonts w:ascii="Times New Roman" w:hAnsi="Times New Roman" w:cs="Times New Roman"/>
                <w:b/>
                <w:bCs/>
              </w:rPr>
            </w:pPr>
            <w:r w:rsidRPr="00C24F16">
              <w:rPr>
                <w:rFonts w:ascii="Times New Roman" w:hAnsi="Times New Roman" w:cs="Times New Roman"/>
                <w:b/>
                <w:bCs/>
              </w:rPr>
              <w:t xml:space="preserve">CV et </w:t>
            </w:r>
            <w:r w:rsidR="00F910DE" w:rsidRPr="00C24F16">
              <w:rPr>
                <w:rFonts w:ascii="Times New Roman" w:hAnsi="Times New Roman" w:cs="Times New Roman"/>
                <w:b/>
                <w:bCs/>
              </w:rPr>
              <w:t xml:space="preserve">lettre d'intention </w:t>
            </w:r>
          </w:p>
          <w:p w14:paraId="1E9F2FEA" w14:textId="53A840D5" w:rsidR="00476FA4" w:rsidRPr="008013F5" w:rsidRDefault="00BF6F90">
            <w:pPr>
              <w:pStyle w:val="ListParagraph"/>
              <w:numPr>
                <w:ilvl w:val="1"/>
                <w:numId w:val="6"/>
              </w:numPr>
              <w:ind w:left="452"/>
              <w:jc w:val="both"/>
              <w:rPr>
                <w:rFonts w:ascii="Times New Roman" w:hAnsi="Times New Roman" w:cs="Times New Roman"/>
                <w:lang w:val="fr-FR"/>
              </w:rPr>
            </w:pPr>
            <w:r w:rsidRPr="008013F5">
              <w:rPr>
                <w:rFonts w:ascii="Times New Roman" w:hAnsi="Times New Roman" w:cs="Times New Roman"/>
                <w:lang w:val="fr-FR"/>
              </w:rPr>
              <w:t xml:space="preserve">Démonstration </w:t>
            </w:r>
            <w:r w:rsidR="00A33B02">
              <w:rPr>
                <w:rFonts w:ascii="Times New Roman" w:hAnsi="Times New Roman" w:cs="Times New Roman"/>
                <w:lang w:val="fr-FR"/>
              </w:rPr>
              <w:t>des</w:t>
            </w:r>
            <w:r w:rsidRPr="008013F5">
              <w:rPr>
                <w:rFonts w:ascii="Times New Roman" w:hAnsi="Times New Roman" w:cs="Times New Roman"/>
                <w:lang w:val="fr-FR"/>
              </w:rPr>
              <w:t xml:space="preserve"> expérience</w:t>
            </w:r>
            <w:r w:rsidR="00A33B02">
              <w:rPr>
                <w:rFonts w:ascii="Times New Roman" w:hAnsi="Times New Roman" w:cs="Times New Roman"/>
                <w:lang w:val="fr-FR"/>
              </w:rPr>
              <w:t>s</w:t>
            </w:r>
            <w:r w:rsidRPr="008013F5">
              <w:rPr>
                <w:rFonts w:ascii="Times New Roman" w:hAnsi="Times New Roman" w:cs="Times New Roman"/>
                <w:lang w:val="fr-FR"/>
              </w:rPr>
              <w:t xml:space="preserve"> dans des processus similaires</w:t>
            </w:r>
          </w:p>
          <w:p w14:paraId="5BFDEEA3" w14:textId="77777777" w:rsidR="00476FA4" w:rsidRPr="008013F5" w:rsidRDefault="00BF6F90">
            <w:pPr>
              <w:pStyle w:val="ListParagraph"/>
              <w:numPr>
                <w:ilvl w:val="1"/>
                <w:numId w:val="6"/>
              </w:numPr>
              <w:ind w:left="452"/>
              <w:jc w:val="both"/>
              <w:rPr>
                <w:rFonts w:ascii="Times New Roman" w:hAnsi="Times New Roman" w:cs="Times New Roman"/>
                <w:lang w:val="fr-FR"/>
              </w:rPr>
            </w:pPr>
            <w:r w:rsidRPr="008013F5">
              <w:rPr>
                <w:rFonts w:ascii="Times New Roman" w:hAnsi="Times New Roman" w:cs="Times New Roman"/>
                <w:lang w:val="fr-FR"/>
              </w:rPr>
              <w:t>Compréhension des normes et des principes énoncés dans les annexes</w:t>
            </w:r>
          </w:p>
          <w:p w14:paraId="37B8B9C2" w14:textId="77777777" w:rsidR="00476FA4" w:rsidRPr="008013F5" w:rsidRDefault="00BF6F90">
            <w:pPr>
              <w:pStyle w:val="ListParagraph"/>
              <w:numPr>
                <w:ilvl w:val="1"/>
                <w:numId w:val="6"/>
              </w:numPr>
              <w:ind w:left="452"/>
              <w:jc w:val="both"/>
              <w:rPr>
                <w:rFonts w:ascii="Times New Roman" w:hAnsi="Times New Roman" w:cs="Times New Roman"/>
                <w:lang w:val="fr-FR"/>
              </w:rPr>
            </w:pPr>
            <w:r w:rsidRPr="008013F5">
              <w:rPr>
                <w:rFonts w:ascii="Times New Roman" w:hAnsi="Times New Roman" w:cs="Times New Roman"/>
                <w:lang w:val="fr-FR"/>
              </w:rPr>
              <w:t>Compréhension des défis potentiels et des moyens créatifs de les surmonter</w:t>
            </w:r>
          </w:p>
          <w:p w14:paraId="44BB1973" w14:textId="77777777" w:rsidR="00476FA4" w:rsidRDefault="00BF6F90">
            <w:pPr>
              <w:pStyle w:val="ListParagraph"/>
              <w:numPr>
                <w:ilvl w:val="1"/>
                <w:numId w:val="6"/>
              </w:numPr>
              <w:ind w:left="452"/>
              <w:jc w:val="both"/>
              <w:rPr>
                <w:rFonts w:ascii="Times New Roman" w:hAnsi="Times New Roman" w:cs="Times New Roman"/>
                <w:lang w:val="en-US"/>
              </w:rPr>
            </w:pPr>
            <w:proofErr w:type="spellStart"/>
            <w:r w:rsidRPr="00C24F16">
              <w:rPr>
                <w:rFonts w:ascii="Times New Roman" w:hAnsi="Times New Roman" w:cs="Times New Roman"/>
                <w:lang w:val="en-US"/>
              </w:rPr>
              <w:t>Clarté</w:t>
            </w:r>
            <w:proofErr w:type="spellEnd"/>
            <w:r w:rsidRPr="00C24F16">
              <w:rPr>
                <w:rFonts w:ascii="Times New Roman" w:hAnsi="Times New Roman" w:cs="Times New Roman"/>
                <w:lang w:val="en-US"/>
              </w:rPr>
              <w:t xml:space="preserve"> et </w:t>
            </w:r>
            <w:proofErr w:type="spellStart"/>
            <w:r w:rsidRPr="00C24F16">
              <w:rPr>
                <w:rFonts w:ascii="Times New Roman" w:hAnsi="Times New Roman" w:cs="Times New Roman"/>
                <w:lang w:val="en-US"/>
              </w:rPr>
              <w:t>présentation</w:t>
            </w:r>
            <w:proofErr w:type="spellEnd"/>
          </w:p>
          <w:p w14:paraId="7E9A707C" w14:textId="6FFFF0AA" w:rsidR="00264E09" w:rsidRPr="00C24F16" w:rsidRDefault="00264E09" w:rsidP="00264E09">
            <w:pPr>
              <w:pStyle w:val="ListParagraph"/>
              <w:ind w:left="452"/>
              <w:jc w:val="both"/>
              <w:rPr>
                <w:rFonts w:ascii="Times New Roman" w:hAnsi="Times New Roman" w:cs="Times New Roman"/>
                <w:lang w:val="en-US"/>
              </w:rPr>
            </w:pPr>
          </w:p>
        </w:tc>
        <w:tc>
          <w:tcPr>
            <w:tcW w:w="1275" w:type="dxa"/>
          </w:tcPr>
          <w:p w14:paraId="58CC1FAD" w14:textId="77777777" w:rsidR="00476FA4" w:rsidRDefault="00BF6F90">
            <w:pPr>
              <w:jc w:val="both"/>
              <w:rPr>
                <w:rFonts w:ascii="Times New Roman" w:hAnsi="Times New Roman" w:cs="Times New Roman"/>
                <w:b/>
                <w:bCs/>
              </w:rPr>
            </w:pPr>
            <w:r w:rsidRPr="00C24F16">
              <w:rPr>
                <w:rFonts w:ascii="Times New Roman" w:hAnsi="Times New Roman" w:cs="Times New Roman"/>
                <w:b/>
                <w:bCs/>
              </w:rPr>
              <w:t>20 points</w:t>
            </w:r>
          </w:p>
          <w:p w14:paraId="29E813F4" w14:textId="77777777" w:rsidR="00476FA4" w:rsidRDefault="00BF6F90">
            <w:pPr>
              <w:jc w:val="both"/>
              <w:rPr>
                <w:rFonts w:ascii="Times New Roman" w:hAnsi="Times New Roman" w:cs="Times New Roman"/>
              </w:rPr>
            </w:pPr>
            <w:r w:rsidRPr="00C24F16">
              <w:rPr>
                <w:rFonts w:ascii="Times New Roman" w:hAnsi="Times New Roman" w:cs="Times New Roman"/>
              </w:rPr>
              <w:t>5</w:t>
            </w:r>
          </w:p>
          <w:p w14:paraId="475244E4" w14:textId="77777777" w:rsidR="00476FA4" w:rsidRDefault="00BF6F90">
            <w:pPr>
              <w:jc w:val="both"/>
              <w:rPr>
                <w:rFonts w:ascii="Times New Roman" w:hAnsi="Times New Roman" w:cs="Times New Roman"/>
              </w:rPr>
            </w:pPr>
            <w:r w:rsidRPr="00C24F16">
              <w:rPr>
                <w:rFonts w:ascii="Times New Roman" w:hAnsi="Times New Roman" w:cs="Times New Roman"/>
              </w:rPr>
              <w:t>5</w:t>
            </w:r>
          </w:p>
          <w:p w14:paraId="3A29C315" w14:textId="77777777" w:rsidR="00476FA4" w:rsidRDefault="00BF6F90">
            <w:pPr>
              <w:jc w:val="both"/>
              <w:rPr>
                <w:rFonts w:ascii="Times New Roman" w:hAnsi="Times New Roman" w:cs="Times New Roman"/>
              </w:rPr>
            </w:pPr>
            <w:r w:rsidRPr="00C24F16">
              <w:rPr>
                <w:rFonts w:ascii="Times New Roman" w:hAnsi="Times New Roman" w:cs="Times New Roman"/>
              </w:rPr>
              <w:t>5</w:t>
            </w:r>
          </w:p>
          <w:p w14:paraId="6F2DD7D0" w14:textId="77777777" w:rsidR="00476FA4" w:rsidRDefault="00BF6F90">
            <w:pPr>
              <w:jc w:val="both"/>
              <w:rPr>
                <w:rFonts w:ascii="Times New Roman" w:hAnsi="Times New Roman" w:cs="Times New Roman"/>
              </w:rPr>
            </w:pPr>
            <w:r w:rsidRPr="00C24F16">
              <w:rPr>
                <w:rFonts w:ascii="Times New Roman" w:hAnsi="Times New Roman" w:cs="Times New Roman"/>
              </w:rPr>
              <w:t>5</w:t>
            </w:r>
          </w:p>
        </w:tc>
      </w:tr>
      <w:tr w:rsidR="000E3837" w:rsidRPr="00C24F16" w14:paraId="41A45BC0" w14:textId="77777777" w:rsidTr="007C3C18">
        <w:trPr>
          <w:jc w:val="center"/>
        </w:trPr>
        <w:tc>
          <w:tcPr>
            <w:tcW w:w="9067" w:type="dxa"/>
            <w:gridSpan w:val="2"/>
            <w:vAlign w:val="center"/>
          </w:tcPr>
          <w:p w14:paraId="4CBD48F0" w14:textId="77777777" w:rsidR="00476FA4" w:rsidRDefault="00BF6F90">
            <w:pPr>
              <w:jc w:val="center"/>
              <w:rPr>
                <w:rFonts w:ascii="Times New Roman" w:hAnsi="Times New Roman" w:cs="Times New Roman"/>
              </w:rPr>
            </w:pPr>
            <w:r w:rsidRPr="00C24F16">
              <w:rPr>
                <w:rFonts w:ascii="Times New Roman" w:hAnsi="Times New Roman" w:cs="Times New Roman"/>
              </w:rPr>
              <w:t>Deuxième tour</w:t>
            </w:r>
          </w:p>
        </w:tc>
      </w:tr>
      <w:tr w:rsidR="00F910DE" w:rsidRPr="00C24F16" w14:paraId="588BDA14" w14:textId="77777777" w:rsidTr="007C3C18">
        <w:trPr>
          <w:jc w:val="center"/>
        </w:trPr>
        <w:tc>
          <w:tcPr>
            <w:tcW w:w="7792" w:type="dxa"/>
          </w:tcPr>
          <w:p w14:paraId="14A3FB21" w14:textId="77777777" w:rsidR="00476FA4" w:rsidRDefault="00BF6F90">
            <w:pPr>
              <w:jc w:val="both"/>
              <w:rPr>
                <w:rFonts w:ascii="Times New Roman" w:hAnsi="Times New Roman" w:cs="Times New Roman"/>
                <w:b/>
                <w:bCs/>
              </w:rPr>
            </w:pPr>
            <w:r w:rsidRPr="00C24F16">
              <w:rPr>
                <w:rFonts w:ascii="Times New Roman" w:hAnsi="Times New Roman" w:cs="Times New Roman"/>
                <w:b/>
                <w:bCs/>
              </w:rPr>
              <w:t>Offre technique</w:t>
            </w:r>
          </w:p>
          <w:p w14:paraId="71E5CF97" w14:textId="77777777" w:rsidR="00476FA4" w:rsidRDefault="00BF6F90">
            <w:pPr>
              <w:pStyle w:val="ListParagraph"/>
              <w:numPr>
                <w:ilvl w:val="1"/>
                <w:numId w:val="6"/>
              </w:numPr>
              <w:ind w:left="452"/>
              <w:jc w:val="both"/>
              <w:rPr>
                <w:rFonts w:ascii="Times New Roman" w:hAnsi="Times New Roman" w:cs="Times New Roman"/>
              </w:rPr>
            </w:pPr>
            <w:r w:rsidRPr="00C24F16">
              <w:rPr>
                <w:rFonts w:ascii="Times New Roman" w:hAnsi="Times New Roman" w:cs="Times New Roman"/>
              </w:rPr>
              <w:t>Alignement méthodologique</w:t>
            </w:r>
          </w:p>
          <w:p w14:paraId="1859D350" w14:textId="77777777" w:rsidR="00476FA4" w:rsidRDefault="00BF6F90">
            <w:pPr>
              <w:pStyle w:val="ListParagraph"/>
              <w:numPr>
                <w:ilvl w:val="1"/>
                <w:numId w:val="6"/>
              </w:numPr>
              <w:ind w:left="452"/>
              <w:jc w:val="both"/>
              <w:rPr>
                <w:rFonts w:ascii="Times New Roman" w:hAnsi="Times New Roman" w:cs="Times New Roman"/>
              </w:rPr>
            </w:pPr>
            <w:r w:rsidRPr="00C24F16">
              <w:rPr>
                <w:rFonts w:ascii="Times New Roman" w:hAnsi="Times New Roman" w:cs="Times New Roman"/>
              </w:rPr>
              <w:t>Profondeur de l'engagement à l'égard du projet et des questions d'évaluation</w:t>
            </w:r>
          </w:p>
          <w:p w14:paraId="490C567D" w14:textId="77777777" w:rsidR="00476FA4" w:rsidRDefault="00BF6F90">
            <w:pPr>
              <w:pStyle w:val="ListParagraph"/>
              <w:numPr>
                <w:ilvl w:val="1"/>
                <w:numId w:val="6"/>
              </w:numPr>
              <w:ind w:left="452"/>
              <w:jc w:val="both"/>
              <w:rPr>
                <w:rFonts w:ascii="Times New Roman" w:hAnsi="Times New Roman" w:cs="Times New Roman"/>
              </w:rPr>
            </w:pPr>
            <w:r w:rsidRPr="00C24F16">
              <w:rPr>
                <w:rFonts w:ascii="Times New Roman" w:hAnsi="Times New Roman" w:cs="Times New Roman"/>
              </w:rPr>
              <w:t>Conception globale</w:t>
            </w:r>
          </w:p>
          <w:p w14:paraId="795EDC9D" w14:textId="77777777" w:rsidR="00476FA4" w:rsidRDefault="00BF6F90">
            <w:pPr>
              <w:pStyle w:val="ListParagraph"/>
              <w:numPr>
                <w:ilvl w:val="1"/>
                <w:numId w:val="6"/>
              </w:numPr>
              <w:ind w:left="452"/>
              <w:jc w:val="both"/>
              <w:rPr>
                <w:rFonts w:ascii="Times New Roman" w:hAnsi="Times New Roman" w:cs="Times New Roman"/>
              </w:rPr>
            </w:pPr>
            <w:r w:rsidRPr="00C24F16">
              <w:rPr>
                <w:rFonts w:ascii="Times New Roman" w:hAnsi="Times New Roman" w:cs="Times New Roman"/>
              </w:rPr>
              <w:t>Plan réaliste de mise en œuvre</w:t>
            </w:r>
          </w:p>
          <w:p w14:paraId="47425FC2" w14:textId="77777777" w:rsidR="00476FA4" w:rsidRDefault="00BF6F90">
            <w:pPr>
              <w:pStyle w:val="ListParagraph"/>
              <w:numPr>
                <w:ilvl w:val="1"/>
                <w:numId w:val="6"/>
              </w:numPr>
              <w:ind w:left="452"/>
              <w:jc w:val="both"/>
              <w:rPr>
                <w:rFonts w:ascii="Times New Roman" w:hAnsi="Times New Roman" w:cs="Times New Roman"/>
              </w:rPr>
            </w:pPr>
            <w:r w:rsidRPr="00C24F16">
              <w:rPr>
                <w:rFonts w:ascii="Times New Roman" w:hAnsi="Times New Roman" w:cs="Times New Roman"/>
              </w:rPr>
              <w:t xml:space="preserve">Clarté et </w:t>
            </w:r>
            <w:r w:rsidR="00D073EA" w:rsidRPr="00C24F16">
              <w:rPr>
                <w:rFonts w:ascii="Times New Roman" w:hAnsi="Times New Roman" w:cs="Times New Roman"/>
              </w:rPr>
              <w:t>structure</w:t>
            </w:r>
          </w:p>
          <w:p w14:paraId="71099638" w14:textId="39758005" w:rsidR="00F910DE" w:rsidRPr="00C24F16" w:rsidRDefault="00F910DE" w:rsidP="00F910DE">
            <w:pPr>
              <w:jc w:val="both"/>
              <w:rPr>
                <w:rFonts w:ascii="Times New Roman" w:hAnsi="Times New Roman" w:cs="Times New Roman"/>
              </w:rPr>
            </w:pPr>
          </w:p>
        </w:tc>
        <w:tc>
          <w:tcPr>
            <w:tcW w:w="1275" w:type="dxa"/>
          </w:tcPr>
          <w:p w14:paraId="58605E88" w14:textId="77777777" w:rsidR="00476FA4" w:rsidRDefault="00BF6F90">
            <w:pPr>
              <w:jc w:val="both"/>
              <w:rPr>
                <w:rFonts w:ascii="Times New Roman" w:hAnsi="Times New Roman" w:cs="Times New Roman"/>
                <w:b/>
                <w:bCs/>
              </w:rPr>
            </w:pPr>
            <w:r w:rsidRPr="00C24F16">
              <w:rPr>
                <w:rFonts w:ascii="Times New Roman" w:hAnsi="Times New Roman" w:cs="Times New Roman"/>
                <w:b/>
                <w:bCs/>
              </w:rPr>
              <w:t>70 points</w:t>
            </w:r>
          </w:p>
          <w:p w14:paraId="04176512" w14:textId="77777777" w:rsidR="00476FA4" w:rsidRDefault="00D073EA">
            <w:pPr>
              <w:jc w:val="both"/>
              <w:rPr>
                <w:rFonts w:ascii="Times New Roman" w:hAnsi="Times New Roman" w:cs="Times New Roman"/>
              </w:rPr>
            </w:pPr>
            <w:r w:rsidRPr="00C24F16">
              <w:rPr>
                <w:rFonts w:ascii="Times New Roman" w:hAnsi="Times New Roman" w:cs="Times New Roman"/>
              </w:rPr>
              <w:t>20</w:t>
            </w:r>
          </w:p>
          <w:p w14:paraId="108D18F7" w14:textId="77777777" w:rsidR="00476FA4" w:rsidRDefault="00BF6F90">
            <w:pPr>
              <w:jc w:val="both"/>
              <w:rPr>
                <w:rFonts w:ascii="Times New Roman" w:hAnsi="Times New Roman" w:cs="Times New Roman"/>
              </w:rPr>
            </w:pPr>
            <w:r w:rsidRPr="00C24F16">
              <w:rPr>
                <w:rFonts w:ascii="Times New Roman" w:hAnsi="Times New Roman" w:cs="Times New Roman"/>
              </w:rPr>
              <w:t>8</w:t>
            </w:r>
          </w:p>
          <w:p w14:paraId="100382C4" w14:textId="77777777" w:rsidR="00476FA4" w:rsidRDefault="00BF6F90">
            <w:pPr>
              <w:jc w:val="both"/>
              <w:rPr>
                <w:rFonts w:ascii="Times New Roman" w:hAnsi="Times New Roman" w:cs="Times New Roman"/>
              </w:rPr>
            </w:pPr>
            <w:r w:rsidRPr="00C24F16">
              <w:rPr>
                <w:rFonts w:ascii="Times New Roman" w:hAnsi="Times New Roman" w:cs="Times New Roman"/>
              </w:rPr>
              <w:t>18</w:t>
            </w:r>
          </w:p>
          <w:p w14:paraId="71BC542B" w14:textId="77777777" w:rsidR="00476FA4" w:rsidRDefault="00D073EA">
            <w:pPr>
              <w:jc w:val="both"/>
              <w:rPr>
                <w:rFonts w:ascii="Times New Roman" w:hAnsi="Times New Roman" w:cs="Times New Roman"/>
              </w:rPr>
            </w:pPr>
            <w:r w:rsidRPr="00C24F16">
              <w:rPr>
                <w:rFonts w:ascii="Times New Roman" w:hAnsi="Times New Roman" w:cs="Times New Roman"/>
              </w:rPr>
              <w:t>16</w:t>
            </w:r>
          </w:p>
          <w:p w14:paraId="60F5F3F3" w14:textId="77777777" w:rsidR="00476FA4" w:rsidRDefault="00BF6F90">
            <w:pPr>
              <w:jc w:val="both"/>
              <w:rPr>
                <w:rFonts w:ascii="Times New Roman" w:hAnsi="Times New Roman" w:cs="Times New Roman"/>
              </w:rPr>
            </w:pPr>
            <w:r w:rsidRPr="00C24F16">
              <w:rPr>
                <w:rFonts w:ascii="Times New Roman" w:hAnsi="Times New Roman" w:cs="Times New Roman"/>
              </w:rPr>
              <w:t>8</w:t>
            </w:r>
          </w:p>
        </w:tc>
      </w:tr>
      <w:tr w:rsidR="00F910DE" w:rsidRPr="00C24F16" w14:paraId="34B50452" w14:textId="77777777" w:rsidTr="007C3C18">
        <w:trPr>
          <w:jc w:val="center"/>
        </w:trPr>
        <w:tc>
          <w:tcPr>
            <w:tcW w:w="7792" w:type="dxa"/>
          </w:tcPr>
          <w:p w14:paraId="569C948E" w14:textId="77777777" w:rsidR="00476FA4" w:rsidRDefault="00BF6F90">
            <w:pPr>
              <w:jc w:val="both"/>
              <w:rPr>
                <w:rFonts w:ascii="Times New Roman" w:hAnsi="Times New Roman" w:cs="Times New Roman"/>
                <w:b/>
                <w:bCs/>
              </w:rPr>
            </w:pPr>
            <w:r w:rsidRPr="00C24F16">
              <w:rPr>
                <w:rFonts w:ascii="Times New Roman" w:hAnsi="Times New Roman" w:cs="Times New Roman"/>
                <w:b/>
                <w:bCs/>
              </w:rPr>
              <w:t>Offre financière</w:t>
            </w:r>
          </w:p>
          <w:p w14:paraId="4FFBFF46" w14:textId="77777777" w:rsidR="00476FA4" w:rsidRDefault="00BF6F90">
            <w:pPr>
              <w:pStyle w:val="ListParagraph"/>
              <w:numPr>
                <w:ilvl w:val="1"/>
                <w:numId w:val="6"/>
              </w:numPr>
              <w:ind w:left="452"/>
              <w:jc w:val="both"/>
              <w:rPr>
                <w:rFonts w:ascii="Times New Roman" w:hAnsi="Times New Roman" w:cs="Times New Roman"/>
              </w:rPr>
            </w:pPr>
            <w:r w:rsidRPr="00C24F16">
              <w:rPr>
                <w:rFonts w:ascii="Times New Roman" w:hAnsi="Times New Roman" w:cs="Times New Roman"/>
              </w:rPr>
              <w:t>Planification globale</w:t>
            </w:r>
          </w:p>
          <w:p w14:paraId="117D0BA8" w14:textId="7093C82F" w:rsidR="00476FA4" w:rsidRPr="008013F5" w:rsidRDefault="00A33B02">
            <w:pPr>
              <w:pStyle w:val="ListParagraph"/>
              <w:numPr>
                <w:ilvl w:val="1"/>
                <w:numId w:val="6"/>
              </w:numPr>
              <w:ind w:left="452"/>
              <w:jc w:val="both"/>
              <w:rPr>
                <w:rFonts w:ascii="Times New Roman" w:hAnsi="Times New Roman" w:cs="Times New Roman"/>
                <w:lang w:val="fr-FR"/>
              </w:rPr>
            </w:pPr>
            <w:r>
              <w:rPr>
                <w:rFonts w:ascii="Times New Roman" w:hAnsi="Times New Roman" w:cs="Times New Roman"/>
                <w:lang w:val="fr-FR"/>
              </w:rPr>
              <w:t>Solidité de la justification des</w:t>
            </w:r>
            <w:r w:rsidRPr="008013F5">
              <w:rPr>
                <w:rFonts w:ascii="Times New Roman" w:hAnsi="Times New Roman" w:cs="Times New Roman"/>
                <w:lang w:val="fr-FR"/>
              </w:rPr>
              <w:t xml:space="preserve"> </w:t>
            </w:r>
            <w:r>
              <w:rPr>
                <w:rFonts w:ascii="Times New Roman" w:hAnsi="Times New Roman" w:cs="Times New Roman"/>
                <w:lang w:val="fr-FR"/>
              </w:rPr>
              <w:t xml:space="preserve">coûts </w:t>
            </w:r>
            <w:r w:rsidRPr="008013F5">
              <w:rPr>
                <w:rFonts w:ascii="Times New Roman" w:hAnsi="Times New Roman" w:cs="Times New Roman"/>
                <w:lang w:val="fr-FR"/>
              </w:rPr>
              <w:t>pour chaque ligne</w:t>
            </w:r>
          </w:p>
          <w:p w14:paraId="0534DCBD" w14:textId="77777777" w:rsidR="00476FA4" w:rsidRDefault="00F910DE">
            <w:pPr>
              <w:pStyle w:val="ListParagraph"/>
              <w:numPr>
                <w:ilvl w:val="1"/>
                <w:numId w:val="6"/>
              </w:numPr>
              <w:ind w:left="452"/>
              <w:jc w:val="both"/>
              <w:rPr>
                <w:rFonts w:ascii="Times New Roman" w:hAnsi="Times New Roman" w:cs="Times New Roman"/>
              </w:rPr>
            </w:pPr>
            <w:r w:rsidRPr="00C24F16">
              <w:rPr>
                <w:rFonts w:ascii="Times New Roman" w:hAnsi="Times New Roman" w:cs="Times New Roman"/>
              </w:rPr>
              <w:t>Rapport coût-efficacité</w:t>
            </w:r>
          </w:p>
          <w:p w14:paraId="5804F4AF" w14:textId="77777777" w:rsidR="00476FA4" w:rsidRDefault="00BF6F90">
            <w:pPr>
              <w:pStyle w:val="ListParagraph"/>
              <w:numPr>
                <w:ilvl w:val="1"/>
                <w:numId w:val="6"/>
              </w:numPr>
              <w:ind w:left="452"/>
              <w:jc w:val="both"/>
              <w:rPr>
                <w:rFonts w:ascii="Times New Roman" w:hAnsi="Times New Roman" w:cs="Times New Roman"/>
              </w:rPr>
            </w:pPr>
            <w:r w:rsidRPr="00C24F16">
              <w:rPr>
                <w:rFonts w:ascii="Times New Roman" w:hAnsi="Times New Roman" w:cs="Times New Roman"/>
              </w:rPr>
              <w:t xml:space="preserve">Clarté et </w:t>
            </w:r>
            <w:r w:rsidR="00E11A88" w:rsidRPr="00C24F16">
              <w:rPr>
                <w:rFonts w:ascii="Times New Roman" w:hAnsi="Times New Roman" w:cs="Times New Roman"/>
              </w:rPr>
              <w:t>structure</w:t>
            </w:r>
          </w:p>
          <w:p w14:paraId="56D717A6" w14:textId="506B27E3" w:rsidR="00264E09" w:rsidRPr="00C24F16" w:rsidRDefault="00264E09" w:rsidP="00264E09">
            <w:pPr>
              <w:pStyle w:val="ListParagraph"/>
              <w:ind w:left="452"/>
              <w:jc w:val="both"/>
              <w:rPr>
                <w:rFonts w:ascii="Times New Roman" w:hAnsi="Times New Roman" w:cs="Times New Roman"/>
              </w:rPr>
            </w:pPr>
          </w:p>
        </w:tc>
        <w:tc>
          <w:tcPr>
            <w:tcW w:w="1275" w:type="dxa"/>
          </w:tcPr>
          <w:p w14:paraId="512BB5FD" w14:textId="77777777" w:rsidR="00476FA4" w:rsidRDefault="00BF6F90">
            <w:pPr>
              <w:jc w:val="both"/>
              <w:rPr>
                <w:rFonts w:ascii="Times New Roman" w:hAnsi="Times New Roman" w:cs="Times New Roman"/>
                <w:b/>
                <w:bCs/>
                <w:lang w:val="en-US"/>
              </w:rPr>
            </w:pPr>
            <w:r w:rsidRPr="00C24F16">
              <w:rPr>
                <w:rFonts w:ascii="Times New Roman" w:hAnsi="Times New Roman" w:cs="Times New Roman"/>
                <w:b/>
                <w:bCs/>
                <w:lang w:val="en-US"/>
              </w:rPr>
              <w:t xml:space="preserve">30 </w:t>
            </w:r>
            <w:r w:rsidR="00EB4AB5" w:rsidRPr="00C24F16">
              <w:rPr>
                <w:rFonts w:ascii="Times New Roman" w:hAnsi="Times New Roman" w:cs="Times New Roman"/>
                <w:b/>
                <w:bCs/>
                <w:lang w:val="en-US"/>
              </w:rPr>
              <w:t>points</w:t>
            </w:r>
          </w:p>
          <w:p w14:paraId="14F191A4" w14:textId="77777777" w:rsidR="00476FA4" w:rsidRDefault="00BF6F90">
            <w:pPr>
              <w:jc w:val="both"/>
              <w:rPr>
                <w:rFonts w:ascii="Times New Roman" w:hAnsi="Times New Roman" w:cs="Times New Roman"/>
                <w:lang w:val="en-US"/>
              </w:rPr>
            </w:pPr>
            <w:r w:rsidRPr="00C24F16">
              <w:rPr>
                <w:rFonts w:ascii="Times New Roman" w:hAnsi="Times New Roman" w:cs="Times New Roman"/>
                <w:lang w:val="en-US"/>
              </w:rPr>
              <w:t>8</w:t>
            </w:r>
          </w:p>
          <w:p w14:paraId="126CF52E" w14:textId="77777777" w:rsidR="00476FA4" w:rsidRDefault="00C71A92">
            <w:pPr>
              <w:jc w:val="both"/>
              <w:rPr>
                <w:rFonts w:ascii="Times New Roman" w:hAnsi="Times New Roman" w:cs="Times New Roman"/>
                <w:lang w:val="en-US"/>
              </w:rPr>
            </w:pPr>
            <w:r w:rsidRPr="00C24F16">
              <w:rPr>
                <w:rFonts w:ascii="Times New Roman" w:hAnsi="Times New Roman" w:cs="Times New Roman"/>
                <w:lang w:val="en-US"/>
              </w:rPr>
              <w:t>12</w:t>
            </w:r>
          </w:p>
          <w:p w14:paraId="7906ACD1" w14:textId="77777777" w:rsidR="00476FA4" w:rsidRDefault="00BF6F90">
            <w:pPr>
              <w:jc w:val="both"/>
              <w:rPr>
                <w:rFonts w:ascii="Times New Roman" w:hAnsi="Times New Roman" w:cs="Times New Roman"/>
                <w:lang w:val="en-US"/>
              </w:rPr>
            </w:pPr>
            <w:r w:rsidRPr="00C24F16">
              <w:rPr>
                <w:rFonts w:ascii="Times New Roman" w:hAnsi="Times New Roman" w:cs="Times New Roman"/>
                <w:lang w:val="en-US"/>
              </w:rPr>
              <w:t>8</w:t>
            </w:r>
          </w:p>
          <w:p w14:paraId="1020B63B" w14:textId="77777777" w:rsidR="00476FA4" w:rsidRDefault="00BF6F90">
            <w:pPr>
              <w:jc w:val="both"/>
              <w:rPr>
                <w:rFonts w:ascii="Times New Roman" w:hAnsi="Times New Roman" w:cs="Times New Roman"/>
                <w:lang w:val="en-US"/>
              </w:rPr>
            </w:pPr>
            <w:r w:rsidRPr="00C24F16">
              <w:rPr>
                <w:rFonts w:ascii="Times New Roman" w:hAnsi="Times New Roman" w:cs="Times New Roman"/>
                <w:lang w:val="en-US"/>
              </w:rPr>
              <w:t>2</w:t>
            </w:r>
          </w:p>
        </w:tc>
      </w:tr>
    </w:tbl>
    <w:p w14:paraId="15B51BD2" w14:textId="77777777" w:rsidR="00132E5C" w:rsidRPr="00C24F16" w:rsidRDefault="00132E5C" w:rsidP="004C48DE">
      <w:pPr>
        <w:jc w:val="both"/>
        <w:rPr>
          <w:rFonts w:ascii="Times New Roman" w:hAnsi="Times New Roman" w:cs="Times New Roman"/>
          <w:lang w:val="en-US"/>
        </w:rPr>
      </w:pPr>
    </w:p>
    <w:p w14:paraId="51FBA2EA" w14:textId="7777777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Méthode de calcul : </w:t>
      </w:r>
      <w:r w:rsidR="004C48DE" w:rsidRPr="008013F5">
        <w:rPr>
          <w:rFonts w:ascii="Times New Roman" w:hAnsi="Times New Roman" w:cs="Times New Roman"/>
          <w:lang w:val="fr-FR"/>
        </w:rPr>
        <w:t xml:space="preserve">tous les points seront additionnés à </w:t>
      </w:r>
      <w:r w:rsidRPr="008013F5">
        <w:rPr>
          <w:rFonts w:ascii="Times New Roman" w:hAnsi="Times New Roman" w:cs="Times New Roman"/>
          <w:lang w:val="fr-FR"/>
        </w:rPr>
        <w:t>chaque tour (pas de pondération).</w:t>
      </w:r>
    </w:p>
    <w:p w14:paraId="3DA5CEAA" w14:textId="3C2447D7" w:rsidR="00476FA4" w:rsidRPr="008013F5" w:rsidRDefault="00BF6F90">
      <w:pPr>
        <w:jc w:val="both"/>
        <w:rPr>
          <w:rFonts w:ascii="Times New Roman" w:hAnsi="Times New Roman" w:cs="Times New Roman"/>
          <w:lang w:val="fr-FR"/>
        </w:rPr>
      </w:pPr>
      <w:r w:rsidRPr="008013F5">
        <w:rPr>
          <w:rFonts w:ascii="Times New Roman" w:hAnsi="Times New Roman" w:cs="Times New Roman"/>
          <w:lang w:val="fr-FR"/>
        </w:rPr>
        <w:t xml:space="preserve">La meilleure offre est celle qui totalise le plus grand nombre de points. Si le nombre de points totaux est le même pour plusieurs soumissionnaires, l'offre dont le prix total est le plus bas (parmi ces soumissionnaires) </w:t>
      </w:r>
      <w:r w:rsidR="002A57FC">
        <w:rPr>
          <w:rFonts w:ascii="Times New Roman" w:hAnsi="Times New Roman" w:cs="Times New Roman"/>
          <w:lang w:val="fr-FR"/>
        </w:rPr>
        <w:t>sera</w:t>
      </w:r>
      <w:r w:rsidRPr="008013F5">
        <w:rPr>
          <w:rFonts w:ascii="Times New Roman" w:hAnsi="Times New Roman" w:cs="Times New Roman"/>
          <w:lang w:val="fr-FR"/>
        </w:rPr>
        <w:t xml:space="preserve"> l'offre </w:t>
      </w:r>
      <w:r w:rsidR="002A57FC">
        <w:rPr>
          <w:rFonts w:ascii="Times New Roman" w:hAnsi="Times New Roman" w:cs="Times New Roman"/>
          <w:lang w:val="fr-FR"/>
        </w:rPr>
        <w:t>choisie</w:t>
      </w:r>
      <w:r w:rsidRPr="008013F5">
        <w:rPr>
          <w:rFonts w:ascii="Times New Roman" w:hAnsi="Times New Roman" w:cs="Times New Roman"/>
          <w:lang w:val="fr-FR"/>
        </w:rPr>
        <w:t>.</w:t>
      </w:r>
    </w:p>
    <w:p w14:paraId="036D4C86" w14:textId="77777777" w:rsidR="004C48DE" w:rsidRPr="008013F5" w:rsidRDefault="004C48DE" w:rsidP="00C23757">
      <w:pPr>
        <w:jc w:val="both"/>
        <w:rPr>
          <w:rFonts w:ascii="Times New Roman" w:hAnsi="Times New Roman" w:cs="Times New Roman"/>
          <w:lang w:val="fr-FR"/>
        </w:rPr>
      </w:pPr>
    </w:p>
    <w:p w14:paraId="1CF61991" w14:textId="77777777" w:rsidR="00476FA4" w:rsidRDefault="00EB001F">
      <w:pPr>
        <w:pStyle w:val="Heading2"/>
        <w:numPr>
          <w:ilvl w:val="0"/>
          <w:numId w:val="10"/>
        </w:numPr>
        <w:jc w:val="both"/>
        <w:rPr>
          <w:rFonts w:ascii="Times New Roman" w:hAnsi="Times New Roman" w:cs="Times New Roman"/>
          <w:b/>
          <w:bCs/>
          <w:sz w:val="25"/>
          <w:szCs w:val="25"/>
        </w:rPr>
      </w:pPr>
      <w:bookmarkStart w:id="33" w:name="_Toc183474637"/>
      <w:r w:rsidRPr="00994D3F">
        <w:rPr>
          <w:rFonts w:ascii="Times New Roman" w:hAnsi="Times New Roman" w:cs="Times New Roman"/>
          <w:b/>
          <w:bCs/>
          <w:sz w:val="25"/>
          <w:szCs w:val="25"/>
        </w:rPr>
        <w:t xml:space="preserve"> Annexes</w:t>
      </w:r>
      <w:bookmarkEnd w:id="33"/>
    </w:p>
    <w:p w14:paraId="283F7FEE" w14:textId="77777777" w:rsidR="00476FA4" w:rsidRDefault="00476FA4">
      <w:pPr>
        <w:rPr>
          <w:rFonts w:ascii="Times New Roman" w:hAnsi="Times New Roman" w:cs="Times New Roman"/>
          <w:i/>
          <w:iCs/>
          <w:lang w:val="en-US"/>
        </w:rPr>
      </w:pPr>
      <w:hyperlink r:id="rId12" w:history="1">
        <w:r w:rsidRPr="00C24F16">
          <w:rPr>
            <w:rStyle w:val="Hyperlink"/>
            <w:rFonts w:ascii="Times New Roman" w:hAnsi="Times New Roman" w:cs="Times New Roman"/>
            <w:i/>
            <w:iCs/>
            <w:lang w:val="en-US"/>
          </w:rPr>
          <w:t>ADA (2019), Politique d'évaluation</w:t>
        </w:r>
      </w:hyperlink>
    </w:p>
    <w:p w14:paraId="271BA667" w14:textId="77777777" w:rsidR="00476FA4" w:rsidRPr="008013F5" w:rsidRDefault="00476FA4">
      <w:pPr>
        <w:rPr>
          <w:rFonts w:ascii="Times New Roman" w:hAnsi="Times New Roman" w:cs="Times New Roman"/>
          <w:i/>
          <w:iCs/>
          <w:lang w:val="fr-FR"/>
        </w:rPr>
      </w:pPr>
      <w:hyperlink r:id="rId13" w:history="1">
        <w:r w:rsidRPr="008013F5">
          <w:rPr>
            <w:rStyle w:val="Hyperlink"/>
            <w:rFonts w:ascii="Times New Roman" w:hAnsi="Times New Roman" w:cs="Times New Roman"/>
            <w:i/>
            <w:iCs/>
            <w:lang w:val="fr-FR"/>
          </w:rPr>
          <w:t>ADA (2020), Lignes directrices pour l'évaluation des programmes et des projets</w:t>
        </w:r>
      </w:hyperlink>
    </w:p>
    <w:p w14:paraId="6ACB8832" w14:textId="77777777" w:rsidR="00476FA4" w:rsidRPr="008013F5" w:rsidRDefault="00476FA4">
      <w:pPr>
        <w:rPr>
          <w:rFonts w:ascii="Times New Roman" w:hAnsi="Times New Roman" w:cs="Times New Roman"/>
          <w:lang w:val="fr-FR"/>
        </w:rPr>
      </w:pPr>
      <w:hyperlink r:id="rId14" w:history="1">
        <w:r w:rsidRPr="008013F5">
          <w:rPr>
            <w:rStyle w:val="Hyperlink"/>
            <w:rFonts w:ascii="Times New Roman" w:hAnsi="Times New Roman" w:cs="Times New Roman"/>
            <w:lang w:val="fr-FR"/>
          </w:rPr>
          <w:t xml:space="preserve">ADA, </w:t>
        </w:r>
        <w:r w:rsidRPr="008013F5">
          <w:rPr>
            <w:rStyle w:val="Hyperlink"/>
            <w:rFonts w:ascii="Times New Roman" w:hAnsi="Times New Roman" w:cs="Times New Roman"/>
            <w:i/>
            <w:iCs/>
            <w:lang w:val="fr-FR"/>
          </w:rPr>
          <w:t>modèle de formulaire d'évaluation des résultats</w:t>
        </w:r>
      </w:hyperlink>
    </w:p>
    <w:p w14:paraId="1D34CAA5" w14:textId="77777777" w:rsidR="00476FA4" w:rsidRPr="008013F5" w:rsidRDefault="00476FA4">
      <w:pPr>
        <w:rPr>
          <w:rFonts w:ascii="Times New Roman" w:hAnsi="Times New Roman" w:cs="Times New Roman"/>
          <w:i/>
          <w:iCs/>
          <w:lang w:val="fr-FR"/>
        </w:rPr>
      </w:pPr>
      <w:hyperlink r:id="rId15" w:history="1">
        <w:r w:rsidRPr="00C24F16">
          <w:rPr>
            <w:rStyle w:val="Hyperlink"/>
            <w:rFonts w:ascii="Times New Roman" w:hAnsi="Times New Roman" w:cs="Times New Roman"/>
            <w:i/>
            <w:iCs/>
          </w:rPr>
          <w:t>Aston, T. et Apgar, M. (2022) The Art and Craft of Bricolage in Evaluation (L'art et la manière de faire du bricolage dans l'évaluation).</w:t>
        </w:r>
      </w:hyperlink>
    </w:p>
    <w:p w14:paraId="0D4EE5C0" w14:textId="77777777" w:rsidR="00476FA4" w:rsidRPr="008013F5" w:rsidRDefault="00476FA4">
      <w:pPr>
        <w:rPr>
          <w:rFonts w:ascii="Times New Roman" w:hAnsi="Times New Roman" w:cs="Times New Roman"/>
          <w:i/>
          <w:iCs/>
          <w:lang w:val="fr-FR"/>
        </w:rPr>
      </w:pPr>
      <w:hyperlink r:id="rId16" w:history="1">
        <w:r w:rsidRPr="00C24F16">
          <w:rPr>
            <w:rStyle w:val="Hyperlink"/>
            <w:rFonts w:ascii="Times New Roman" w:hAnsi="Times New Roman" w:cs="Times New Roman"/>
            <w:i/>
            <w:iCs/>
          </w:rPr>
          <w:t xml:space="preserve">OCDE (2019), </w:t>
        </w:r>
        <w:r w:rsidRPr="008013F5">
          <w:rPr>
            <w:rStyle w:val="Hyperlink"/>
            <w:rFonts w:ascii="Times New Roman" w:hAnsi="Times New Roman" w:cs="Times New Roman"/>
            <w:i/>
            <w:iCs/>
            <w:lang w:val="fr-FR"/>
          </w:rPr>
          <w:t xml:space="preserve">De meilleurs </w:t>
        </w:r>
        <w:r w:rsidRPr="00C24F16">
          <w:rPr>
            <w:rStyle w:val="Hyperlink"/>
            <w:rFonts w:ascii="Times New Roman" w:hAnsi="Times New Roman" w:cs="Times New Roman"/>
            <w:i/>
            <w:iCs/>
          </w:rPr>
          <w:t xml:space="preserve">critères </w:t>
        </w:r>
        <w:r w:rsidRPr="008013F5">
          <w:rPr>
            <w:rStyle w:val="Hyperlink"/>
            <w:rFonts w:ascii="Times New Roman" w:hAnsi="Times New Roman" w:cs="Times New Roman"/>
            <w:i/>
            <w:iCs/>
            <w:lang w:val="fr-FR"/>
          </w:rPr>
          <w:t>pour une meilleure évaluation</w:t>
        </w:r>
      </w:hyperlink>
    </w:p>
    <w:p w14:paraId="26D0A701" w14:textId="77777777" w:rsidR="00476FA4" w:rsidRPr="008013F5" w:rsidRDefault="00476FA4">
      <w:pPr>
        <w:rPr>
          <w:rFonts w:ascii="Times New Roman" w:hAnsi="Times New Roman" w:cs="Times New Roman"/>
          <w:i/>
          <w:iCs/>
          <w:lang w:val="fr-FR"/>
        </w:rPr>
      </w:pPr>
      <w:hyperlink r:id="rId17" w:anchor=":~:text=The%20four%20UNEG%20guiding%20ethical,essential%20for%20responsible%20evaluation%20practice." w:history="1">
        <w:r w:rsidRPr="008013F5">
          <w:rPr>
            <w:rStyle w:val="Hyperlink"/>
            <w:rFonts w:ascii="Times New Roman" w:hAnsi="Times New Roman" w:cs="Times New Roman"/>
            <w:i/>
            <w:iCs/>
            <w:lang w:val="fr-FR"/>
          </w:rPr>
          <w:t>UNEG (2020), Lignes directrices éthiques pour l'évaluation</w:t>
        </w:r>
      </w:hyperlink>
    </w:p>
    <w:p w14:paraId="2DA3AA4E" w14:textId="7C8BE673" w:rsidR="00476FA4" w:rsidRDefault="002A57FC">
      <w:pPr>
        <w:rPr>
          <w:rFonts w:ascii="Times New Roman" w:hAnsi="Times New Roman" w:cs="Times New Roman"/>
          <w:i/>
          <w:iCs/>
        </w:rPr>
      </w:pPr>
      <w:hyperlink r:id="rId18" w:tooltip="UNEG (2016), Normes et standards pour l'évaluation " w:history="1">
        <w:r>
          <w:rPr>
            <w:rStyle w:val="Hyperlink"/>
            <w:rFonts w:ascii="Times New Roman" w:hAnsi="Times New Roman" w:cs="Times New Roman"/>
            <w:i/>
            <w:iCs/>
          </w:rPr>
          <w:t>UNEG (2016), Normes et standards pour l'évaluation</w:t>
        </w:r>
      </w:hyperlink>
      <w:r w:rsidR="00BF6F90" w:rsidRPr="00875206">
        <w:rPr>
          <w:rFonts w:ascii="Times New Roman" w:hAnsi="Times New Roman" w:cs="Times New Roman"/>
          <w:i/>
          <w:iCs/>
        </w:rPr>
        <w:t xml:space="preserve"> </w:t>
      </w:r>
    </w:p>
    <w:p w14:paraId="7AC93D1C" w14:textId="77777777" w:rsidR="00476FA4" w:rsidRPr="008013F5" w:rsidRDefault="00476FA4">
      <w:pPr>
        <w:rPr>
          <w:rFonts w:ascii="Times New Roman" w:hAnsi="Times New Roman" w:cs="Times New Roman"/>
          <w:i/>
          <w:iCs/>
          <w:lang w:val="fr-FR"/>
        </w:rPr>
      </w:pPr>
      <w:hyperlink r:id="rId19" w:history="1">
        <w:r w:rsidRPr="008013F5">
          <w:rPr>
            <w:rStyle w:val="Hyperlink"/>
            <w:rFonts w:ascii="Times New Roman" w:hAnsi="Times New Roman" w:cs="Times New Roman"/>
            <w:i/>
            <w:iCs/>
            <w:lang w:val="fr-FR"/>
          </w:rPr>
          <w:t>UNICEF (2021), Procédure sur les normes éthiques dans la recherche, l'évaluation, la collecte et l'analyse des données.</w:t>
        </w:r>
      </w:hyperlink>
    </w:p>
    <w:p w14:paraId="7AB35C76" w14:textId="0C834FA9" w:rsidR="00975068" w:rsidRPr="008013F5" w:rsidRDefault="00975068" w:rsidP="00EC1993">
      <w:pPr>
        <w:rPr>
          <w:rFonts w:ascii="Times New Roman" w:hAnsi="Times New Roman" w:cs="Times New Roman"/>
          <w:i/>
          <w:iCs/>
          <w:lang w:val="fr-FR"/>
        </w:rPr>
      </w:pPr>
    </w:p>
    <w:sectPr w:rsidR="00975068" w:rsidRPr="008013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27A87" w14:textId="77777777" w:rsidR="00DD381F" w:rsidRDefault="00DD381F" w:rsidP="007F1DB4">
      <w:pPr>
        <w:spacing w:after="0" w:line="240" w:lineRule="auto"/>
      </w:pPr>
      <w:r>
        <w:separator/>
      </w:r>
    </w:p>
  </w:endnote>
  <w:endnote w:type="continuationSeparator" w:id="0">
    <w:p w14:paraId="28917223" w14:textId="77777777" w:rsidR="00DD381F" w:rsidRDefault="00DD381F" w:rsidP="007F1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a">
    <w:altName w:val="Cambria"/>
    <w:charset w:val="00"/>
    <w:family w:val="roman"/>
    <w:pitch w:val="variable"/>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1186985"/>
      <w:docPartObj>
        <w:docPartGallery w:val="Page Numbers (Bottom of Page)"/>
        <w:docPartUnique/>
      </w:docPartObj>
    </w:sdtPr>
    <w:sdtEndPr>
      <w:rPr>
        <w:rStyle w:val="PageNumber"/>
      </w:rPr>
    </w:sdtEndPr>
    <w:sdtContent>
      <w:p w14:paraId="7614AF41" w14:textId="77777777" w:rsidR="00476FA4" w:rsidRDefault="00BF6F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7ECB">
          <w:rPr>
            <w:rStyle w:val="PageNumber"/>
            <w:noProof/>
          </w:rPr>
          <w:t>10</w:t>
        </w:r>
        <w:r>
          <w:rPr>
            <w:rStyle w:val="PageNumber"/>
          </w:rPr>
          <w:fldChar w:fldCharType="end"/>
        </w:r>
      </w:p>
    </w:sdtContent>
  </w:sdt>
  <w:p w14:paraId="3FDD6A1B" w14:textId="77777777" w:rsidR="00773C06" w:rsidRDefault="00773C06" w:rsidP="00773C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622572371"/>
      <w:docPartObj>
        <w:docPartGallery w:val="Page Numbers (Bottom of Page)"/>
        <w:docPartUnique/>
      </w:docPartObj>
    </w:sdtPr>
    <w:sdtEndPr>
      <w:rPr>
        <w:rStyle w:val="PageNumber"/>
      </w:rPr>
    </w:sdtEndPr>
    <w:sdtContent>
      <w:p w14:paraId="5E6339E1" w14:textId="77777777" w:rsidR="00476FA4" w:rsidRDefault="00BF6F90">
        <w:pPr>
          <w:pStyle w:val="Footer"/>
          <w:framePr w:wrap="none" w:vAnchor="text" w:hAnchor="margin" w:xAlign="right" w:y="1"/>
          <w:rPr>
            <w:rStyle w:val="PageNumber"/>
            <w:rFonts w:ascii="Times New Roman" w:hAnsi="Times New Roman" w:cs="Times New Roman"/>
          </w:rPr>
        </w:pPr>
        <w:r w:rsidRPr="00773C06">
          <w:rPr>
            <w:rStyle w:val="PageNumber"/>
            <w:rFonts w:ascii="Times New Roman" w:hAnsi="Times New Roman" w:cs="Times New Roman"/>
          </w:rPr>
          <w:fldChar w:fldCharType="begin"/>
        </w:r>
        <w:r w:rsidRPr="00773C06">
          <w:rPr>
            <w:rStyle w:val="PageNumber"/>
            <w:rFonts w:ascii="Times New Roman" w:hAnsi="Times New Roman" w:cs="Times New Roman"/>
          </w:rPr>
          <w:instrText xml:space="preserve"> PAGE </w:instrText>
        </w:r>
        <w:r w:rsidRPr="00773C06">
          <w:rPr>
            <w:rStyle w:val="PageNumber"/>
            <w:rFonts w:ascii="Times New Roman" w:hAnsi="Times New Roman" w:cs="Times New Roman"/>
          </w:rPr>
          <w:fldChar w:fldCharType="separate"/>
        </w:r>
        <w:r w:rsidRPr="00773C06">
          <w:rPr>
            <w:rStyle w:val="PageNumber"/>
            <w:rFonts w:ascii="Times New Roman" w:hAnsi="Times New Roman" w:cs="Times New Roman"/>
            <w:noProof/>
          </w:rPr>
          <w:t>1</w:t>
        </w:r>
        <w:r w:rsidRPr="00773C06">
          <w:rPr>
            <w:rStyle w:val="PageNumber"/>
            <w:rFonts w:ascii="Times New Roman" w:hAnsi="Times New Roman" w:cs="Times New Roman"/>
          </w:rPr>
          <w:fldChar w:fldCharType="end"/>
        </w:r>
      </w:p>
    </w:sdtContent>
  </w:sdt>
  <w:p w14:paraId="7FB63E10" w14:textId="77777777" w:rsidR="00773C06" w:rsidRDefault="00773C06" w:rsidP="00773C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D1D25" w14:textId="77777777" w:rsidR="00DD381F" w:rsidRDefault="00DD381F" w:rsidP="007F1DB4">
      <w:pPr>
        <w:spacing w:after="0" w:line="240" w:lineRule="auto"/>
      </w:pPr>
      <w:r>
        <w:separator/>
      </w:r>
    </w:p>
  </w:footnote>
  <w:footnote w:type="continuationSeparator" w:id="0">
    <w:p w14:paraId="74DA2BB1" w14:textId="77777777" w:rsidR="00DD381F" w:rsidRDefault="00DD381F" w:rsidP="007F1DB4">
      <w:pPr>
        <w:spacing w:after="0" w:line="240" w:lineRule="auto"/>
      </w:pPr>
      <w:r>
        <w:continuationSeparator/>
      </w:r>
    </w:p>
  </w:footnote>
  <w:footnote w:id="1">
    <w:p w14:paraId="07E0E7C4" w14:textId="77777777" w:rsidR="00BE4E1A" w:rsidRDefault="00BE4E1A" w:rsidP="00BE4E1A">
      <w:pPr>
        <w:pStyle w:val="FootnoteText"/>
        <w:rPr>
          <w:rFonts w:ascii="Times New Roman" w:hAnsi="Times New Roman" w:cs="Times New Roman"/>
        </w:rPr>
      </w:pPr>
      <w:r w:rsidRPr="00702694">
        <w:rPr>
          <w:rStyle w:val="FootnoteReference"/>
          <w:rFonts w:ascii="Times New Roman" w:hAnsi="Times New Roman" w:cs="Times New Roman"/>
        </w:rPr>
        <w:footnoteRef/>
      </w:r>
      <w:r w:rsidRPr="00702694">
        <w:rPr>
          <w:rFonts w:ascii="Times New Roman" w:hAnsi="Times New Roman" w:cs="Times New Roman"/>
          <w:lang w:val="en-US"/>
        </w:rPr>
        <w:t xml:space="preserve">Aston, T. et Apgar, M. (2022) The Art and Craft of Bricolage in Evaluation, CDI Practice Paper 24, Brighton : Institute of Development Studies. </w:t>
      </w:r>
      <w:hyperlink r:id="rId1" w:tgtFrame="_blank" w:history="1">
        <w:r w:rsidRPr="00702694">
          <w:rPr>
            <w:rStyle w:val="Hyperlink"/>
            <w:rFonts w:ascii="Times New Roman" w:hAnsi="Times New Roman" w:cs="Times New Roman"/>
          </w:rPr>
          <w:t>https://doi.org/10.19088/IDS.2022.068</w:t>
        </w:r>
      </w:hyperlink>
    </w:p>
    <w:p w14:paraId="5A27FCB4" w14:textId="77777777" w:rsidR="00BE4E1A" w:rsidRPr="008013F5" w:rsidRDefault="00BE4E1A" w:rsidP="00BE4E1A">
      <w:pPr>
        <w:pStyle w:val="FootnoteText"/>
        <w:rPr>
          <w:lang w:val="fr-FR"/>
        </w:rPr>
      </w:pPr>
    </w:p>
    <w:p w14:paraId="4B166F90" w14:textId="77777777" w:rsidR="00BE4E1A" w:rsidRPr="008013F5" w:rsidRDefault="00BE4E1A" w:rsidP="00BE4E1A">
      <w:pPr>
        <w:pStyle w:val="FootnoteText"/>
        <w:rPr>
          <w:lang w:val="fr-FR"/>
        </w:rPr>
      </w:pPr>
    </w:p>
  </w:footnote>
  <w:footnote w:id="2">
    <w:p w14:paraId="79A1BEEB" w14:textId="77777777" w:rsidR="0049114D" w:rsidRPr="008013F5" w:rsidRDefault="0049114D" w:rsidP="0049114D">
      <w:pPr>
        <w:spacing w:after="0" w:line="240" w:lineRule="auto"/>
        <w:rPr>
          <w:rFonts w:ascii="Times New Roman" w:hAnsi="Times New Roman" w:cs="Times New Roman"/>
          <w:i/>
          <w:iCs/>
          <w:lang w:val="fr-FR"/>
        </w:rPr>
      </w:pPr>
      <w:r w:rsidRPr="00C23757">
        <w:rPr>
          <w:rStyle w:val="FootnoteReference"/>
          <w:rFonts w:ascii="Times New Roman" w:hAnsi="Times New Roman" w:cs="Times New Roman"/>
        </w:rPr>
        <w:footnoteRef/>
      </w:r>
      <w:hyperlink r:id="rId2" w:history="1">
        <w:r w:rsidRPr="008013F5">
          <w:rPr>
            <w:rStyle w:val="Hyperlink"/>
            <w:rFonts w:ascii="Times New Roman" w:hAnsi="Times New Roman" w:cs="Times New Roman"/>
            <w:sz w:val="18"/>
            <w:szCs w:val="18"/>
            <w:lang w:val="fr-FR"/>
          </w:rPr>
          <w:t xml:space="preserve"> ADA (2020), </w:t>
        </w:r>
        <w:r w:rsidRPr="008013F5">
          <w:rPr>
            <w:rStyle w:val="Hyperlink"/>
            <w:rFonts w:ascii="Times New Roman" w:hAnsi="Times New Roman" w:cs="Times New Roman"/>
            <w:i/>
            <w:iCs/>
            <w:sz w:val="18"/>
            <w:szCs w:val="18"/>
            <w:lang w:val="fr-FR"/>
          </w:rPr>
          <w:t>Lignes directrices pour l'évaluation des programmes et des projets</w:t>
        </w:r>
      </w:hyperlink>
      <w:r w:rsidRPr="008013F5">
        <w:rPr>
          <w:rFonts w:ascii="Times New Roman" w:hAnsi="Times New Roman" w:cs="Times New Roman"/>
          <w:sz w:val="18"/>
          <w:szCs w:val="18"/>
          <w:lang w:val="fr-FR"/>
        </w:rPr>
        <w:t>, pp. 46</w:t>
      </w:r>
    </w:p>
  </w:footnote>
  <w:footnote w:id="3">
    <w:p w14:paraId="2A9C39C1" w14:textId="77777777" w:rsidR="0049114D" w:rsidRDefault="0049114D" w:rsidP="0049114D">
      <w:pPr>
        <w:pStyle w:val="FootnoteText"/>
        <w:rPr>
          <w:lang w:val="en-US"/>
        </w:rPr>
      </w:pPr>
      <w:r w:rsidRPr="00E51905">
        <w:rPr>
          <w:rStyle w:val="FootnoteReference"/>
          <w:rFonts w:ascii="Times New Roman" w:hAnsi="Times New Roman" w:cs="Times New Roman"/>
        </w:rPr>
        <w:footnoteRef/>
      </w:r>
      <w:r w:rsidRPr="00E51905">
        <w:rPr>
          <w:rFonts w:ascii="Times New Roman" w:hAnsi="Times New Roman" w:cs="Times New Roman"/>
          <w:lang w:val="en-US"/>
        </w:rPr>
        <w:t xml:space="preserve"> Ibid, pp. 48</w:t>
      </w:r>
    </w:p>
  </w:footnote>
  <w:footnote w:id="4">
    <w:p w14:paraId="28152C4B" w14:textId="77777777" w:rsidR="001B53F3" w:rsidRDefault="001B53F3" w:rsidP="001B53F3">
      <w:pPr>
        <w:spacing w:after="0" w:line="240" w:lineRule="auto"/>
        <w:rPr>
          <w:rFonts w:ascii="Times New Roman" w:hAnsi="Times New Roman" w:cs="Times New Roman"/>
          <w:i/>
          <w:iCs/>
          <w:sz w:val="18"/>
          <w:szCs w:val="18"/>
        </w:rPr>
      </w:pPr>
      <w:r w:rsidRPr="00E51905">
        <w:rPr>
          <w:rStyle w:val="FootnoteReference"/>
          <w:sz w:val="18"/>
          <w:szCs w:val="18"/>
        </w:rPr>
        <w:footnoteRef/>
      </w:r>
      <w:hyperlink r:id="rId3" w:history="1">
        <w:r w:rsidRPr="00E51905">
          <w:rPr>
            <w:rStyle w:val="Hyperlink"/>
            <w:rFonts w:ascii="Times New Roman" w:hAnsi="Times New Roman" w:cs="Times New Roman"/>
            <w:i/>
            <w:iCs/>
            <w:sz w:val="18"/>
            <w:szCs w:val="18"/>
          </w:rPr>
          <w:t xml:space="preserve"> UNEG (2016), </w:t>
        </w:r>
        <w:r w:rsidRPr="00E51905">
          <w:rPr>
            <w:rStyle w:val="Hyperlink"/>
            <w:rFonts w:ascii="Times New Roman" w:hAnsi="Times New Roman" w:cs="Times New Roman"/>
            <w:i/>
            <w:iCs/>
            <w:sz w:val="18"/>
            <w:szCs w:val="18"/>
          </w:rPr>
          <w:t>Norms and Standards for Evaluation</w:t>
        </w:r>
      </w:hyperlink>
      <w:r w:rsidRPr="00E51905">
        <w:rPr>
          <w:rFonts w:ascii="Times New Roman" w:hAnsi="Times New Roman" w:cs="Times New Roman"/>
          <w:i/>
          <w:iCs/>
          <w:sz w:val="18"/>
          <w:szCs w:val="18"/>
        </w:rPr>
        <w:t xml:space="preserve"> ; </w:t>
      </w:r>
      <w:hyperlink r:id="rId4" w:anchor=":~:text=The%20four%20UNEG%20guiding%20ethical,essential%20for%20responsible%20evaluation%20practice." w:history="1">
        <w:r w:rsidRPr="00E51905">
          <w:rPr>
            <w:rStyle w:val="Hyperlink"/>
            <w:rFonts w:ascii="Times New Roman" w:hAnsi="Times New Roman" w:cs="Times New Roman"/>
            <w:i/>
            <w:iCs/>
            <w:sz w:val="18"/>
            <w:szCs w:val="18"/>
            <w:lang w:val="en-US"/>
          </w:rPr>
          <w:t>UNEG (2020), Ethical Guidelines for Evaluation</w:t>
        </w:r>
      </w:hyperlink>
      <w:r w:rsidRPr="00E51905">
        <w:rPr>
          <w:rFonts w:ascii="Times New Roman" w:hAnsi="Times New Roman" w:cs="Times New Roman"/>
          <w:i/>
          <w:iCs/>
          <w:sz w:val="18"/>
          <w:szCs w:val="18"/>
          <w:lang w:val="en-US"/>
        </w:rPr>
        <w:t xml:space="preserve"> ; </w:t>
      </w:r>
      <w:hyperlink r:id="rId5" w:history="1">
        <w:r w:rsidRPr="00E51905">
          <w:rPr>
            <w:rStyle w:val="Hyperlink"/>
            <w:rFonts w:ascii="Times New Roman" w:hAnsi="Times New Roman" w:cs="Times New Roman"/>
            <w:i/>
            <w:iCs/>
            <w:sz w:val="18"/>
            <w:szCs w:val="18"/>
            <w:lang w:val="en-US"/>
          </w:rPr>
          <w:t>UNICEF (2021), Procedure on Ethical Standards in Research, Evaluation, Data Collection and Analysis.</w:t>
        </w:r>
      </w:hyperlink>
    </w:p>
    <w:p w14:paraId="4F50FDE1" w14:textId="77777777" w:rsidR="001B53F3" w:rsidRPr="00C23757" w:rsidRDefault="001B53F3" w:rsidP="001B53F3">
      <w:pPr>
        <w:pStyle w:val="FootnoteText"/>
        <w:rPr>
          <w:lang w:val="en-US"/>
        </w:rPr>
      </w:pPr>
    </w:p>
  </w:footnote>
  <w:footnote w:id="5">
    <w:p w14:paraId="57BE71F3" w14:textId="77777777" w:rsidR="00A33B02" w:rsidRPr="008013F5" w:rsidRDefault="00A33B02" w:rsidP="00A33B02">
      <w:pPr>
        <w:rPr>
          <w:rFonts w:ascii="Times New Roman" w:hAnsi="Times New Roman" w:cs="Times New Roman"/>
          <w:i/>
          <w:iCs/>
          <w:sz w:val="18"/>
          <w:szCs w:val="18"/>
          <w:lang w:val="fr-FR"/>
        </w:rPr>
      </w:pPr>
      <w:r w:rsidRPr="00E51905">
        <w:rPr>
          <w:rStyle w:val="FootnoteReference"/>
          <w:sz w:val="18"/>
          <w:szCs w:val="18"/>
        </w:rPr>
        <w:footnoteRef/>
      </w:r>
      <w:hyperlink r:id="rId6" w:history="1">
        <w:r w:rsidRPr="008013F5">
          <w:rPr>
            <w:rStyle w:val="Hyperlink"/>
            <w:rFonts w:ascii="Times New Roman" w:hAnsi="Times New Roman" w:cs="Times New Roman"/>
            <w:sz w:val="18"/>
            <w:szCs w:val="18"/>
            <w:lang w:val="fr-FR"/>
          </w:rPr>
          <w:t xml:space="preserve"> ADA (2020), </w:t>
        </w:r>
        <w:r w:rsidRPr="008013F5">
          <w:rPr>
            <w:rStyle w:val="Hyperlink"/>
            <w:rFonts w:ascii="Times New Roman" w:hAnsi="Times New Roman" w:cs="Times New Roman"/>
            <w:i/>
            <w:iCs/>
            <w:sz w:val="18"/>
            <w:szCs w:val="18"/>
            <w:lang w:val="fr-FR"/>
          </w:rPr>
          <w:t>Lignes directrices pour l'évaluation des programmes et des projets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B4B"/>
    <w:multiLevelType w:val="hybridMultilevel"/>
    <w:tmpl w:val="FACC29E8"/>
    <w:lvl w:ilvl="0" w:tplc="BE32FB7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F4CE1"/>
    <w:multiLevelType w:val="hybridMultilevel"/>
    <w:tmpl w:val="0756C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669FB"/>
    <w:multiLevelType w:val="multilevel"/>
    <w:tmpl w:val="45F2CBE6"/>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3" w15:restartNumberingAfterBreak="0">
    <w:nsid w:val="1EAD14B9"/>
    <w:multiLevelType w:val="multilevel"/>
    <w:tmpl w:val="495EF878"/>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4" w15:restartNumberingAfterBreak="0">
    <w:nsid w:val="1FB35A64"/>
    <w:multiLevelType w:val="hybridMultilevel"/>
    <w:tmpl w:val="0756CB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1834F7"/>
    <w:multiLevelType w:val="hybridMultilevel"/>
    <w:tmpl w:val="2F542A68"/>
    <w:lvl w:ilvl="0" w:tplc="D20CBE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1303B"/>
    <w:multiLevelType w:val="hybridMultilevel"/>
    <w:tmpl w:val="275653FC"/>
    <w:lvl w:ilvl="0" w:tplc="7B0C05F6">
      <w:start w:val="1"/>
      <w:numFmt w:val="decimal"/>
      <w:lvlText w:val="%1."/>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13029D"/>
    <w:multiLevelType w:val="multilevel"/>
    <w:tmpl w:val="ED2EAB2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8" w15:restartNumberingAfterBreak="0">
    <w:nsid w:val="2F1E4EDF"/>
    <w:multiLevelType w:val="hybridMultilevel"/>
    <w:tmpl w:val="323A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F5A46"/>
    <w:multiLevelType w:val="hybridMultilevel"/>
    <w:tmpl w:val="14707C28"/>
    <w:lvl w:ilvl="0" w:tplc="7AAE0A6E">
      <w:start w:val="1"/>
      <w:numFmt w:val="decimal"/>
      <w:lvlText w:val="%1."/>
      <w:lvlJc w:val="left"/>
      <w:pPr>
        <w:ind w:left="2642" w:hanging="284"/>
      </w:pPr>
      <w:rPr>
        <w:rFonts w:ascii="Symbola" w:eastAsia="Symbola" w:hAnsi="Symbola" w:cs="Symbola" w:hint="default"/>
        <w:b w:val="0"/>
        <w:bCs w:val="0"/>
        <w:i w:val="0"/>
        <w:iCs w:val="0"/>
        <w:color w:val="E0251B"/>
        <w:spacing w:val="0"/>
        <w:w w:val="110"/>
        <w:sz w:val="16"/>
        <w:szCs w:val="16"/>
        <w:lang w:val="en-US" w:eastAsia="en-US" w:bidi="ar-SA"/>
      </w:rPr>
    </w:lvl>
    <w:lvl w:ilvl="1" w:tplc="64C8E4F8">
      <w:numFmt w:val="bullet"/>
      <w:lvlText w:val="•"/>
      <w:lvlJc w:val="left"/>
      <w:pPr>
        <w:ind w:left="3478" w:hanging="284"/>
      </w:pPr>
      <w:rPr>
        <w:rFonts w:hint="default"/>
        <w:lang w:val="en-US" w:eastAsia="en-US" w:bidi="ar-SA"/>
      </w:rPr>
    </w:lvl>
    <w:lvl w:ilvl="2" w:tplc="BC3E4E4A">
      <w:numFmt w:val="bullet"/>
      <w:lvlText w:val="•"/>
      <w:lvlJc w:val="left"/>
      <w:pPr>
        <w:ind w:left="4317" w:hanging="284"/>
      </w:pPr>
      <w:rPr>
        <w:rFonts w:hint="default"/>
        <w:lang w:val="en-US" w:eastAsia="en-US" w:bidi="ar-SA"/>
      </w:rPr>
    </w:lvl>
    <w:lvl w:ilvl="3" w:tplc="ECEA9172">
      <w:numFmt w:val="bullet"/>
      <w:lvlText w:val="•"/>
      <w:lvlJc w:val="left"/>
      <w:pPr>
        <w:ind w:left="5155" w:hanging="284"/>
      </w:pPr>
      <w:rPr>
        <w:rFonts w:hint="default"/>
        <w:lang w:val="en-US" w:eastAsia="en-US" w:bidi="ar-SA"/>
      </w:rPr>
    </w:lvl>
    <w:lvl w:ilvl="4" w:tplc="53FA058E">
      <w:numFmt w:val="bullet"/>
      <w:lvlText w:val="•"/>
      <w:lvlJc w:val="left"/>
      <w:pPr>
        <w:ind w:left="5994" w:hanging="284"/>
      </w:pPr>
      <w:rPr>
        <w:rFonts w:hint="default"/>
        <w:lang w:val="en-US" w:eastAsia="en-US" w:bidi="ar-SA"/>
      </w:rPr>
    </w:lvl>
    <w:lvl w:ilvl="5" w:tplc="89B0B434">
      <w:numFmt w:val="bullet"/>
      <w:lvlText w:val="•"/>
      <w:lvlJc w:val="left"/>
      <w:pPr>
        <w:ind w:left="6832" w:hanging="284"/>
      </w:pPr>
      <w:rPr>
        <w:rFonts w:hint="default"/>
        <w:lang w:val="en-US" w:eastAsia="en-US" w:bidi="ar-SA"/>
      </w:rPr>
    </w:lvl>
    <w:lvl w:ilvl="6" w:tplc="BC7A09BA">
      <w:numFmt w:val="bullet"/>
      <w:lvlText w:val="•"/>
      <w:lvlJc w:val="left"/>
      <w:pPr>
        <w:ind w:left="7671" w:hanging="284"/>
      </w:pPr>
      <w:rPr>
        <w:rFonts w:hint="default"/>
        <w:lang w:val="en-US" w:eastAsia="en-US" w:bidi="ar-SA"/>
      </w:rPr>
    </w:lvl>
    <w:lvl w:ilvl="7" w:tplc="63BEC63E">
      <w:numFmt w:val="bullet"/>
      <w:lvlText w:val="•"/>
      <w:lvlJc w:val="left"/>
      <w:pPr>
        <w:ind w:left="8509" w:hanging="284"/>
      </w:pPr>
      <w:rPr>
        <w:rFonts w:hint="default"/>
        <w:lang w:val="en-US" w:eastAsia="en-US" w:bidi="ar-SA"/>
      </w:rPr>
    </w:lvl>
    <w:lvl w:ilvl="8" w:tplc="D8DAB202">
      <w:numFmt w:val="bullet"/>
      <w:lvlText w:val="•"/>
      <w:lvlJc w:val="left"/>
      <w:pPr>
        <w:ind w:left="9348" w:hanging="284"/>
      </w:pPr>
      <w:rPr>
        <w:rFonts w:hint="default"/>
        <w:lang w:val="en-US" w:eastAsia="en-US" w:bidi="ar-SA"/>
      </w:rPr>
    </w:lvl>
  </w:abstractNum>
  <w:abstractNum w:abstractNumId="10" w15:restartNumberingAfterBreak="0">
    <w:nsid w:val="42AF00E9"/>
    <w:multiLevelType w:val="hybridMultilevel"/>
    <w:tmpl w:val="58DEC8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2F6F13"/>
    <w:multiLevelType w:val="hybridMultilevel"/>
    <w:tmpl w:val="5B541812"/>
    <w:lvl w:ilvl="0" w:tplc="FA149D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A7447C"/>
    <w:multiLevelType w:val="hybridMultilevel"/>
    <w:tmpl w:val="24E4AC52"/>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244D2F"/>
    <w:multiLevelType w:val="multilevel"/>
    <w:tmpl w:val="CB5862F2"/>
    <w:lvl w:ilvl="0">
      <w:start w:val="1"/>
      <w:numFmt w:val="bullet"/>
      <w:lvlText w:val=""/>
      <w:lvlJc w:val="left"/>
      <w:pPr>
        <w:tabs>
          <w:tab w:val="num" w:pos="720"/>
        </w:tabs>
        <w:ind w:left="720" w:hanging="360"/>
      </w:pPr>
      <w:rPr>
        <w:rFonts w:ascii="Symbol" w:hAnsi="Symbol" w:hint="default"/>
        <w:sz w:val="18"/>
      </w:rPr>
    </w:lvl>
    <w:lvl w:ilvl="1">
      <w:start w:val="2"/>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4" w15:restartNumberingAfterBreak="0">
    <w:nsid w:val="7404077E"/>
    <w:multiLevelType w:val="hybridMultilevel"/>
    <w:tmpl w:val="C9CACD68"/>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4970FB8"/>
    <w:multiLevelType w:val="hybridMultilevel"/>
    <w:tmpl w:val="863413AE"/>
    <w:lvl w:ilvl="0" w:tplc="F0E64F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679430">
    <w:abstractNumId w:val="9"/>
  </w:num>
  <w:num w:numId="2" w16cid:durableId="301078375">
    <w:abstractNumId w:val="11"/>
  </w:num>
  <w:num w:numId="3" w16cid:durableId="386495836">
    <w:abstractNumId w:val="12"/>
  </w:num>
  <w:num w:numId="4" w16cid:durableId="1446735086">
    <w:abstractNumId w:val="8"/>
  </w:num>
  <w:num w:numId="5" w16cid:durableId="1641034624">
    <w:abstractNumId w:val="3"/>
  </w:num>
  <w:num w:numId="6" w16cid:durableId="2072657247">
    <w:abstractNumId w:val="13"/>
  </w:num>
  <w:num w:numId="7" w16cid:durableId="950628651">
    <w:abstractNumId w:val="7"/>
  </w:num>
  <w:num w:numId="8" w16cid:durableId="588808181">
    <w:abstractNumId w:val="10"/>
  </w:num>
  <w:num w:numId="9" w16cid:durableId="1769812461">
    <w:abstractNumId w:val="2"/>
  </w:num>
  <w:num w:numId="10" w16cid:durableId="467403291">
    <w:abstractNumId w:val="1"/>
  </w:num>
  <w:num w:numId="11" w16cid:durableId="152645187">
    <w:abstractNumId w:val="14"/>
  </w:num>
  <w:num w:numId="12" w16cid:durableId="1910192508">
    <w:abstractNumId w:val="4"/>
  </w:num>
  <w:num w:numId="13" w16cid:durableId="349449177">
    <w:abstractNumId w:val="6"/>
  </w:num>
  <w:num w:numId="14" w16cid:durableId="1462730376">
    <w:abstractNumId w:val="5"/>
  </w:num>
  <w:num w:numId="15" w16cid:durableId="164907405">
    <w:abstractNumId w:val="0"/>
  </w:num>
  <w:num w:numId="16" w16cid:durableId="1107653535">
    <w:abstractNumId w:val="15"/>
  </w:num>
  <w:num w:numId="17" w16cid:durableId="10882318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07"/>
    <w:rsid w:val="00000267"/>
    <w:rsid w:val="000005F7"/>
    <w:rsid w:val="00011451"/>
    <w:rsid w:val="000132DB"/>
    <w:rsid w:val="00016860"/>
    <w:rsid w:val="000215D6"/>
    <w:rsid w:val="00025B3A"/>
    <w:rsid w:val="000319B3"/>
    <w:rsid w:val="00040A45"/>
    <w:rsid w:val="0004439B"/>
    <w:rsid w:val="00047010"/>
    <w:rsid w:val="00051F45"/>
    <w:rsid w:val="00060BA4"/>
    <w:rsid w:val="00063513"/>
    <w:rsid w:val="00065CF5"/>
    <w:rsid w:val="00066A91"/>
    <w:rsid w:val="00072D53"/>
    <w:rsid w:val="00073A46"/>
    <w:rsid w:val="00077348"/>
    <w:rsid w:val="00085780"/>
    <w:rsid w:val="00093088"/>
    <w:rsid w:val="000A1D28"/>
    <w:rsid w:val="000A3FD6"/>
    <w:rsid w:val="000A53C5"/>
    <w:rsid w:val="000B6B5B"/>
    <w:rsid w:val="000C1FF7"/>
    <w:rsid w:val="000C68BF"/>
    <w:rsid w:val="000E26E4"/>
    <w:rsid w:val="000E3837"/>
    <w:rsid w:val="000F02FD"/>
    <w:rsid w:val="00101BBC"/>
    <w:rsid w:val="00103F46"/>
    <w:rsid w:val="0010685E"/>
    <w:rsid w:val="001167BE"/>
    <w:rsid w:val="00116F2A"/>
    <w:rsid w:val="00122870"/>
    <w:rsid w:val="00132E5C"/>
    <w:rsid w:val="0013413B"/>
    <w:rsid w:val="00140972"/>
    <w:rsid w:val="00141003"/>
    <w:rsid w:val="00141BD5"/>
    <w:rsid w:val="001420B5"/>
    <w:rsid w:val="00142F86"/>
    <w:rsid w:val="001461A7"/>
    <w:rsid w:val="001461D6"/>
    <w:rsid w:val="001476AD"/>
    <w:rsid w:val="00150D52"/>
    <w:rsid w:val="001546CF"/>
    <w:rsid w:val="00155A0E"/>
    <w:rsid w:val="00172C5D"/>
    <w:rsid w:val="00173528"/>
    <w:rsid w:val="001747AA"/>
    <w:rsid w:val="0018008B"/>
    <w:rsid w:val="00190363"/>
    <w:rsid w:val="00192954"/>
    <w:rsid w:val="001A0677"/>
    <w:rsid w:val="001A4865"/>
    <w:rsid w:val="001A60BC"/>
    <w:rsid w:val="001B53F3"/>
    <w:rsid w:val="001C7970"/>
    <w:rsid w:val="001D1588"/>
    <w:rsid w:val="001D1B77"/>
    <w:rsid w:val="001F3632"/>
    <w:rsid w:val="001F79FA"/>
    <w:rsid w:val="00202C07"/>
    <w:rsid w:val="002058CE"/>
    <w:rsid w:val="00210851"/>
    <w:rsid w:val="002114C1"/>
    <w:rsid w:val="00211E42"/>
    <w:rsid w:val="00212966"/>
    <w:rsid w:val="00213C4A"/>
    <w:rsid w:val="0021518A"/>
    <w:rsid w:val="002168B0"/>
    <w:rsid w:val="00217FE0"/>
    <w:rsid w:val="00224DBD"/>
    <w:rsid w:val="00224EF9"/>
    <w:rsid w:val="00227C79"/>
    <w:rsid w:val="00227CEC"/>
    <w:rsid w:val="002319F7"/>
    <w:rsid w:val="00233D24"/>
    <w:rsid w:val="00235F2B"/>
    <w:rsid w:val="002458B1"/>
    <w:rsid w:val="00247915"/>
    <w:rsid w:val="00250DB9"/>
    <w:rsid w:val="0025148C"/>
    <w:rsid w:val="00251953"/>
    <w:rsid w:val="00254804"/>
    <w:rsid w:val="002555CB"/>
    <w:rsid w:val="00255774"/>
    <w:rsid w:val="002568A8"/>
    <w:rsid w:val="00262784"/>
    <w:rsid w:val="00264E09"/>
    <w:rsid w:val="002700C4"/>
    <w:rsid w:val="002778AD"/>
    <w:rsid w:val="00280B86"/>
    <w:rsid w:val="0028161D"/>
    <w:rsid w:val="00284917"/>
    <w:rsid w:val="00285A54"/>
    <w:rsid w:val="002A0E42"/>
    <w:rsid w:val="002A1313"/>
    <w:rsid w:val="002A57FC"/>
    <w:rsid w:val="002B04EA"/>
    <w:rsid w:val="002C0088"/>
    <w:rsid w:val="002C4D8F"/>
    <w:rsid w:val="002C7BBB"/>
    <w:rsid w:val="002D40CE"/>
    <w:rsid w:val="002E3089"/>
    <w:rsid w:val="002E3900"/>
    <w:rsid w:val="002E3CE3"/>
    <w:rsid w:val="002E57FE"/>
    <w:rsid w:val="002E7274"/>
    <w:rsid w:val="002E7C26"/>
    <w:rsid w:val="002F1D84"/>
    <w:rsid w:val="002F5F8F"/>
    <w:rsid w:val="002F7BA3"/>
    <w:rsid w:val="003025EE"/>
    <w:rsid w:val="00307A08"/>
    <w:rsid w:val="0031353F"/>
    <w:rsid w:val="00323F4B"/>
    <w:rsid w:val="003312EA"/>
    <w:rsid w:val="003329A0"/>
    <w:rsid w:val="003357A7"/>
    <w:rsid w:val="003463A2"/>
    <w:rsid w:val="00371F0A"/>
    <w:rsid w:val="00375D94"/>
    <w:rsid w:val="00383B99"/>
    <w:rsid w:val="00384FAA"/>
    <w:rsid w:val="003853A6"/>
    <w:rsid w:val="00391515"/>
    <w:rsid w:val="00391F92"/>
    <w:rsid w:val="003A086B"/>
    <w:rsid w:val="003A61E3"/>
    <w:rsid w:val="003B07F0"/>
    <w:rsid w:val="003B7A73"/>
    <w:rsid w:val="003D24BB"/>
    <w:rsid w:val="003D39EF"/>
    <w:rsid w:val="003E0005"/>
    <w:rsid w:val="003E16AC"/>
    <w:rsid w:val="003E36A1"/>
    <w:rsid w:val="003E4A92"/>
    <w:rsid w:val="003E6111"/>
    <w:rsid w:val="003F0208"/>
    <w:rsid w:val="003F29B4"/>
    <w:rsid w:val="003F4E3C"/>
    <w:rsid w:val="004031E4"/>
    <w:rsid w:val="00407EA4"/>
    <w:rsid w:val="0041387F"/>
    <w:rsid w:val="0042508D"/>
    <w:rsid w:val="00426D5E"/>
    <w:rsid w:val="00443B59"/>
    <w:rsid w:val="00451F6C"/>
    <w:rsid w:val="00453A7E"/>
    <w:rsid w:val="00455ED5"/>
    <w:rsid w:val="00457F4C"/>
    <w:rsid w:val="00474397"/>
    <w:rsid w:val="0047519E"/>
    <w:rsid w:val="00475B95"/>
    <w:rsid w:val="00476FA4"/>
    <w:rsid w:val="004901B2"/>
    <w:rsid w:val="0049114D"/>
    <w:rsid w:val="004A7985"/>
    <w:rsid w:val="004B3495"/>
    <w:rsid w:val="004B430A"/>
    <w:rsid w:val="004B62DF"/>
    <w:rsid w:val="004C081B"/>
    <w:rsid w:val="004C1E06"/>
    <w:rsid w:val="004C3458"/>
    <w:rsid w:val="004C48DE"/>
    <w:rsid w:val="004C4994"/>
    <w:rsid w:val="004C7A29"/>
    <w:rsid w:val="004C7EB8"/>
    <w:rsid w:val="004D2B4D"/>
    <w:rsid w:val="004D56D8"/>
    <w:rsid w:val="004E2C6E"/>
    <w:rsid w:val="004F72A6"/>
    <w:rsid w:val="0050375A"/>
    <w:rsid w:val="0050619B"/>
    <w:rsid w:val="00510CE0"/>
    <w:rsid w:val="0051290D"/>
    <w:rsid w:val="0051496A"/>
    <w:rsid w:val="00515A75"/>
    <w:rsid w:val="00516DA9"/>
    <w:rsid w:val="0052078E"/>
    <w:rsid w:val="00522C83"/>
    <w:rsid w:val="00523362"/>
    <w:rsid w:val="00525F64"/>
    <w:rsid w:val="0052630F"/>
    <w:rsid w:val="00533082"/>
    <w:rsid w:val="00534498"/>
    <w:rsid w:val="00534A12"/>
    <w:rsid w:val="00536A2C"/>
    <w:rsid w:val="005437AB"/>
    <w:rsid w:val="0054436C"/>
    <w:rsid w:val="00544DC5"/>
    <w:rsid w:val="00546911"/>
    <w:rsid w:val="00551FA4"/>
    <w:rsid w:val="0055251B"/>
    <w:rsid w:val="005624A6"/>
    <w:rsid w:val="00562648"/>
    <w:rsid w:val="0057468C"/>
    <w:rsid w:val="005817AC"/>
    <w:rsid w:val="005820D0"/>
    <w:rsid w:val="00586071"/>
    <w:rsid w:val="005861AA"/>
    <w:rsid w:val="005936FE"/>
    <w:rsid w:val="00596EF6"/>
    <w:rsid w:val="00597861"/>
    <w:rsid w:val="00597FB1"/>
    <w:rsid w:val="005B0582"/>
    <w:rsid w:val="005B364A"/>
    <w:rsid w:val="005B5386"/>
    <w:rsid w:val="005C13CA"/>
    <w:rsid w:val="005D3607"/>
    <w:rsid w:val="005D4017"/>
    <w:rsid w:val="005D76B3"/>
    <w:rsid w:val="005E44A2"/>
    <w:rsid w:val="005E4BA1"/>
    <w:rsid w:val="005E6B6C"/>
    <w:rsid w:val="005F0210"/>
    <w:rsid w:val="005F2139"/>
    <w:rsid w:val="005F5BC1"/>
    <w:rsid w:val="005F63D1"/>
    <w:rsid w:val="00600AE6"/>
    <w:rsid w:val="0060499B"/>
    <w:rsid w:val="006062FA"/>
    <w:rsid w:val="006155A1"/>
    <w:rsid w:val="0061662E"/>
    <w:rsid w:val="006167C2"/>
    <w:rsid w:val="00620B85"/>
    <w:rsid w:val="006228FF"/>
    <w:rsid w:val="006270FF"/>
    <w:rsid w:val="006404F2"/>
    <w:rsid w:val="006411CE"/>
    <w:rsid w:val="00644716"/>
    <w:rsid w:val="006620C3"/>
    <w:rsid w:val="006654BC"/>
    <w:rsid w:val="00665BE1"/>
    <w:rsid w:val="00667506"/>
    <w:rsid w:val="006702B5"/>
    <w:rsid w:val="006738C2"/>
    <w:rsid w:val="006763DA"/>
    <w:rsid w:val="00681E9F"/>
    <w:rsid w:val="00686006"/>
    <w:rsid w:val="006909D8"/>
    <w:rsid w:val="00691926"/>
    <w:rsid w:val="006930E2"/>
    <w:rsid w:val="0069384C"/>
    <w:rsid w:val="00693F38"/>
    <w:rsid w:val="00696205"/>
    <w:rsid w:val="006B6FF3"/>
    <w:rsid w:val="006C1480"/>
    <w:rsid w:val="006C440D"/>
    <w:rsid w:val="006C5844"/>
    <w:rsid w:val="006C6619"/>
    <w:rsid w:val="006E1877"/>
    <w:rsid w:val="006E7432"/>
    <w:rsid w:val="00702694"/>
    <w:rsid w:val="00702F28"/>
    <w:rsid w:val="007073A1"/>
    <w:rsid w:val="0070778B"/>
    <w:rsid w:val="00716AD4"/>
    <w:rsid w:val="00721CF6"/>
    <w:rsid w:val="0072291E"/>
    <w:rsid w:val="00726DA9"/>
    <w:rsid w:val="00733D9A"/>
    <w:rsid w:val="007464C6"/>
    <w:rsid w:val="00750047"/>
    <w:rsid w:val="0075230C"/>
    <w:rsid w:val="00753B33"/>
    <w:rsid w:val="007550C0"/>
    <w:rsid w:val="007560A9"/>
    <w:rsid w:val="00756713"/>
    <w:rsid w:val="007647B8"/>
    <w:rsid w:val="00764B82"/>
    <w:rsid w:val="00765F0E"/>
    <w:rsid w:val="0077310B"/>
    <w:rsid w:val="00773C06"/>
    <w:rsid w:val="00776BA2"/>
    <w:rsid w:val="00786E77"/>
    <w:rsid w:val="0079007E"/>
    <w:rsid w:val="00794E92"/>
    <w:rsid w:val="00796D60"/>
    <w:rsid w:val="007A0824"/>
    <w:rsid w:val="007A3494"/>
    <w:rsid w:val="007A5CC0"/>
    <w:rsid w:val="007A64AD"/>
    <w:rsid w:val="007A6B6F"/>
    <w:rsid w:val="007B096D"/>
    <w:rsid w:val="007B1086"/>
    <w:rsid w:val="007B1695"/>
    <w:rsid w:val="007B36F2"/>
    <w:rsid w:val="007B4883"/>
    <w:rsid w:val="007C179C"/>
    <w:rsid w:val="007C32F8"/>
    <w:rsid w:val="007C3C18"/>
    <w:rsid w:val="007C53AF"/>
    <w:rsid w:val="007D64B6"/>
    <w:rsid w:val="007E6947"/>
    <w:rsid w:val="007F1DB4"/>
    <w:rsid w:val="007F20A2"/>
    <w:rsid w:val="007F5D3C"/>
    <w:rsid w:val="00800B16"/>
    <w:rsid w:val="008013F5"/>
    <w:rsid w:val="008022FE"/>
    <w:rsid w:val="00810202"/>
    <w:rsid w:val="008141BA"/>
    <w:rsid w:val="0081664B"/>
    <w:rsid w:val="00820F64"/>
    <w:rsid w:val="0082203E"/>
    <w:rsid w:val="00831481"/>
    <w:rsid w:val="00844030"/>
    <w:rsid w:val="00846B4C"/>
    <w:rsid w:val="0085252C"/>
    <w:rsid w:val="00856816"/>
    <w:rsid w:val="00857AB8"/>
    <w:rsid w:val="008612ED"/>
    <w:rsid w:val="00872586"/>
    <w:rsid w:val="00872F2B"/>
    <w:rsid w:val="00874FE2"/>
    <w:rsid w:val="00875206"/>
    <w:rsid w:val="008825F2"/>
    <w:rsid w:val="00883B2E"/>
    <w:rsid w:val="008920E9"/>
    <w:rsid w:val="008949CC"/>
    <w:rsid w:val="008A15D1"/>
    <w:rsid w:val="008A3D45"/>
    <w:rsid w:val="008A5F33"/>
    <w:rsid w:val="008B0836"/>
    <w:rsid w:val="008B2416"/>
    <w:rsid w:val="008B46F2"/>
    <w:rsid w:val="008B6446"/>
    <w:rsid w:val="008C2A2C"/>
    <w:rsid w:val="008C3A57"/>
    <w:rsid w:val="008D32B2"/>
    <w:rsid w:val="008E17F1"/>
    <w:rsid w:val="008E3237"/>
    <w:rsid w:val="008E3556"/>
    <w:rsid w:val="008E370C"/>
    <w:rsid w:val="008E52BB"/>
    <w:rsid w:val="008E6270"/>
    <w:rsid w:val="008F733F"/>
    <w:rsid w:val="00914227"/>
    <w:rsid w:val="00925E5E"/>
    <w:rsid w:val="009305C8"/>
    <w:rsid w:val="00941A0D"/>
    <w:rsid w:val="00941C89"/>
    <w:rsid w:val="009439F2"/>
    <w:rsid w:val="00955251"/>
    <w:rsid w:val="00957216"/>
    <w:rsid w:val="0096214B"/>
    <w:rsid w:val="00965A84"/>
    <w:rsid w:val="00971704"/>
    <w:rsid w:val="00975068"/>
    <w:rsid w:val="009870E4"/>
    <w:rsid w:val="00991C3D"/>
    <w:rsid w:val="00994D3F"/>
    <w:rsid w:val="0099686A"/>
    <w:rsid w:val="009969EB"/>
    <w:rsid w:val="009975AF"/>
    <w:rsid w:val="009B0677"/>
    <w:rsid w:val="009B3191"/>
    <w:rsid w:val="009B5B20"/>
    <w:rsid w:val="009B5B9C"/>
    <w:rsid w:val="009C65DD"/>
    <w:rsid w:val="009C6AA2"/>
    <w:rsid w:val="009D7969"/>
    <w:rsid w:val="009E03B2"/>
    <w:rsid w:val="00A01EBF"/>
    <w:rsid w:val="00A16636"/>
    <w:rsid w:val="00A25A26"/>
    <w:rsid w:val="00A27239"/>
    <w:rsid w:val="00A333CD"/>
    <w:rsid w:val="00A33B02"/>
    <w:rsid w:val="00A37ECB"/>
    <w:rsid w:val="00A43738"/>
    <w:rsid w:val="00A51608"/>
    <w:rsid w:val="00A544F1"/>
    <w:rsid w:val="00A54BCC"/>
    <w:rsid w:val="00A5708E"/>
    <w:rsid w:val="00A61730"/>
    <w:rsid w:val="00A63F32"/>
    <w:rsid w:val="00A8375F"/>
    <w:rsid w:val="00A83F7A"/>
    <w:rsid w:val="00A858A3"/>
    <w:rsid w:val="00A931D3"/>
    <w:rsid w:val="00A93B87"/>
    <w:rsid w:val="00A93FAF"/>
    <w:rsid w:val="00A9403D"/>
    <w:rsid w:val="00A96323"/>
    <w:rsid w:val="00AA2B8F"/>
    <w:rsid w:val="00AA6B4E"/>
    <w:rsid w:val="00AB3731"/>
    <w:rsid w:val="00AB75BF"/>
    <w:rsid w:val="00AC0E3B"/>
    <w:rsid w:val="00AC48FB"/>
    <w:rsid w:val="00AC5B19"/>
    <w:rsid w:val="00AD4701"/>
    <w:rsid w:val="00AE7932"/>
    <w:rsid w:val="00AE7C4D"/>
    <w:rsid w:val="00AF1C50"/>
    <w:rsid w:val="00B07E8F"/>
    <w:rsid w:val="00B100F7"/>
    <w:rsid w:val="00B12BD9"/>
    <w:rsid w:val="00B2611B"/>
    <w:rsid w:val="00B309A5"/>
    <w:rsid w:val="00B34F7A"/>
    <w:rsid w:val="00B43150"/>
    <w:rsid w:val="00B440C1"/>
    <w:rsid w:val="00B552C3"/>
    <w:rsid w:val="00B6508C"/>
    <w:rsid w:val="00B75323"/>
    <w:rsid w:val="00B75B31"/>
    <w:rsid w:val="00B869E4"/>
    <w:rsid w:val="00B86DA9"/>
    <w:rsid w:val="00B92801"/>
    <w:rsid w:val="00B94CB4"/>
    <w:rsid w:val="00BA1EF8"/>
    <w:rsid w:val="00BA2DCB"/>
    <w:rsid w:val="00BA46F3"/>
    <w:rsid w:val="00BA5B64"/>
    <w:rsid w:val="00BB5FC4"/>
    <w:rsid w:val="00BB7E04"/>
    <w:rsid w:val="00BD439B"/>
    <w:rsid w:val="00BD5500"/>
    <w:rsid w:val="00BD58D3"/>
    <w:rsid w:val="00BD60C8"/>
    <w:rsid w:val="00BE1EBD"/>
    <w:rsid w:val="00BE4BE4"/>
    <w:rsid w:val="00BE4E1A"/>
    <w:rsid w:val="00BF0212"/>
    <w:rsid w:val="00BF6934"/>
    <w:rsid w:val="00BF6F90"/>
    <w:rsid w:val="00C06A9B"/>
    <w:rsid w:val="00C0746F"/>
    <w:rsid w:val="00C1117C"/>
    <w:rsid w:val="00C12A06"/>
    <w:rsid w:val="00C14102"/>
    <w:rsid w:val="00C23757"/>
    <w:rsid w:val="00C24F16"/>
    <w:rsid w:val="00C36316"/>
    <w:rsid w:val="00C47018"/>
    <w:rsid w:val="00C63437"/>
    <w:rsid w:val="00C67F8A"/>
    <w:rsid w:val="00C709C8"/>
    <w:rsid w:val="00C71A92"/>
    <w:rsid w:val="00C83EF0"/>
    <w:rsid w:val="00C918C7"/>
    <w:rsid w:val="00CA41E8"/>
    <w:rsid w:val="00CB4B4C"/>
    <w:rsid w:val="00CB50E9"/>
    <w:rsid w:val="00CD0D4C"/>
    <w:rsid w:val="00CD13FE"/>
    <w:rsid w:val="00CD5EB4"/>
    <w:rsid w:val="00CF7EDD"/>
    <w:rsid w:val="00D01BAE"/>
    <w:rsid w:val="00D03AA3"/>
    <w:rsid w:val="00D055A6"/>
    <w:rsid w:val="00D073EA"/>
    <w:rsid w:val="00D10B31"/>
    <w:rsid w:val="00D10D74"/>
    <w:rsid w:val="00D10EC9"/>
    <w:rsid w:val="00D13E3B"/>
    <w:rsid w:val="00D225A0"/>
    <w:rsid w:val="00D260C2"/>
    <w:rsid w:val="00D3176F"/>
    <w:rsid w:val="00D333E3"/>
    <w:rsid w:val="00D33FB2"/>
    <w:rsid w:val="00D3569C"/>
    <w:rsid w:val="00D40B1C"/>
    <w:rsid w:val="00D42259"/>
    <w:rsid w:val="00D46889"/>
    <w:rsid w:val="00D510A7"/>
    <w:rsid w:val="00D51986"/>
    <w:rsid w:val="00D55566"/>
    <w:rsid w:val="00D6428D"/>
    <w:rsid w:val="00D66A15"/>
    <w:rsid w:val="00D84335"/>
    <w:rsid w:val="00D90FC3"/>
    <w:rsid w:val="00D9346D"/>
    <w:rsid w:val="00D936A1"/>
    <w:rsid w:val="00DA0545"/>
    <w:rsid w:val="00DA1A61"/>
    <w:rsid w:val="00DA7F60"/>
    <w:rsid w:val="00DB0B50"/>
    <w:rsid w:val="00DB2201"/>
    <w:rsid w:val="00DB263F"/>
    <w:rsid w:val="00DB6CC7"/>
    <w:rsid w:val="00DC1F8B"/>
    <w:rsid w:val="00DD046E"/>
    <w:rsid w:val="00DD059C"/>
    <w:rsid w:val="00DD1AFA"/>
    <w:rsid w:val="00DD381F"/>
    <w:rsid w:val="00DD5574"/>
    <w:rsid w:val="00DE1CF2"/>
    <w:rsid w:val="00DE3C38"/>
    <w:rsid w:val="00DE6290"/>
    <w:rsid w:val="00DE6FA7"/>
    <w:rsid w:val="00DF21C4"/>
    <w:rsid w:val="00DF3A6D"/>
    <w:rsid w:val="00DF53C0"/>
    <w:rsid w:val="00E004F3"/>
    <w:rsid w:val="00E00F38"/>
    <w:rsid w:val="00E02878"/>
    <w:rsid w:val="00E03BA0"/>
    <w:rsid w:val="00E11A88"/>
    <w:rsid w:val="00E15936"/>
    <w:rsid w:val="00E15E6F"/>
    <w:rsid w:val="00E1630B"/>
    <w:rsid w:val="00E335FF"/>
    <w:rsid w:val="00E37137"/>
    <w:rsid w:val="00E444FE"/>
    <w:rsid w:val="00E44717"/>
    <w:rsid w:val="00E5129C"/>
    <w:rsid w:val="00E51905"/>
    <w:rsid w:val="00E51ECE"/>
    <w:rsid w:val="00E5548F"/>
    <w:rsid w:val="00E5605E"/>
    <w:rsid w:val="00E61F3D"/>
    <w:rsid w:val="00E7087F"/>
    <w:rsid w:val="00E8308B"/>
    <w:rsid w:val="00E906CF"/>
    <w:rsid w:val="00E92C19"/>
    <w:rsid w:val="00EA1D35"/>
    <w:rsid w:val="00EA3EBB"/>
    <w:rsid w:val="00EB001F"/>
    <w:rsid w:val="00EB4AB5"/>
    <w:rsid w:val="00EB4EB3"/>
    <w:rsid w:val="00EB706D"/>
    <w:rsid w:val="00EC1993"/>
    <w:rsid w:val="00EC2676"/>
    <w:rsid w:val="00EC65CA"/>
    <w:rsid w:val="00ED16BD"/>
    <w:rsid w:val="00EE4863"/>
    <w:rsid w:val="00EE5DBE"/>
    <w:rsid w:val="00EE6CCA"/>
    <w:rsid w:val="00EF7454"/>
    <w:rsid w:val="00F03DFE"/>
    <w:rsid w:val="00F1488E"/>
    <w:rsid w:val="00F21456"/>
    <w:rsid w:val="00F22C7D"/>
    <w:rsid w:val="00F2618F"/>
    <w:rsid w:val="00F32419"/>
    <w:rsid w:val="00F33A91"/>
    <w:rsid w:val="00F33AC0"/>
    <w:rsid w:val="00F34E80"/>
    <w:rsid w:val="00F42624"/>
    <w:rsid w:val="00F42981"/>
    <w:rsid w:val="00F42DA7"/>
    <w:rsid w:val="00F439EB"/>
    <w:rsid w:val="00F45F38"/>
    <w:rsid w:val="00F54649"/>
    <w:rsid w:val="00F57C18"/>
    <w:rsid w:val="00F61C01"/>
    <w:rsid w:val="00F639CC"/>
    <w:rsid w:val="00F64410"/>
    <w:rsid w:val="00F70097"/>
    <w:rsid w:val="00F72256"/>
    <w:rsid w:val="00F76742"/>
    <w:rsid w:val="00F776C4"/>
    <w:rsid w:val="00F90250"/>
    <w:rsid w:val="00F910DE"/>
    <w:rsid w:val="00F91295"/>
    <w:rsid w:val="00F94DC1"/>
    <w:rsid w:val="00FA1465"/>
    <w:rsid w:val="00FA51AD"/>
    <w:rsid w:val="00FC1745"/>
    <w:rsid w:val="00FC2637"/>
    <w:rsid w:val="00FC548D"/>
    <w:rsid w:val="00FD75A2"/>
    <w:rsid w:val="00FE0874"/>
    <w:rsid w:val="00FE24BA"/>
    <w:rsid w:val="00FE6B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16C2"/>
  <w15:chartTrackingRefBased/>
  <w15:docId w15:val="{3E67DC6B-679C-F14C-946D-BB09F90D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78"/>
  </w:style>
  <w:style w:type="paragraph" w:styleId="Heading1">
    <w:name w:val="heading 1"/>
    <w:basedOn w:val="Normal"/>
    <w:next w:val="Normal"/>
    <w:link w:val="Heading1Char"/>
    <w:uiPriority w:val="9"/>
    <w:qFormat/>
    <w:rsid w:val="00202C07"/>
    <w:pPr>
      <w:keepNext/>
      <w:keepLines/>
      <w:spacing w:before="360" w:after="80"/>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unhideWhenUsed/>
    <w:qFormat/>
    <w:rsid w:val="00202C07"/>
    <w:pPr>
      <w:keepNext/>
      <w:keepLines/>
      <w:spacing w:before="160" w:after="8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202C07"/>
    <w:pPr>
      <w:keepNext/>
      <w:keepLines/>
      <w:spacing w:before="160" w:after="80"/>
      <w:outlineLvl w:val="2"/>
    </w:pPr>
    <w:rPr>
      <w:rFonts w:eastAsiaTheme="majorEastAsia" w:cstheme="majorBidi"/>
      <w:color w:val="0F4761" w:themeColor="accent1" w:themeShade="BF"/>
      <w:sz w:val="25"/>
      <w:szCs w:val="25"/>
    </w:rPr>
  </w:style>
  <w:style w:type="paragraph" w:styleId="Heading4">
    <w:name w:val="heading 4"/>
    <w:basedOn w:val="Normal"/>
    <w:next w:val="Normal"/>
    <w:link w:val="Heading4Char"/>
    <w:uiPriority w:val="9"/>
    <w:semiHidden/>
    <w:unhideWhenUsed/>
    <w:qFormat/>
    <w:rsid w:val="00202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C07"/>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rsid w:val="00202C07"/>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202C07"/>
    <w:rPr>
      <w:rFonts w:eastAsiaTheme="majorEastAsia" w:cstheme="majorBidi"/>
      <w:color w:val="0F4761" w:themeColor="accent1" w:themeShade="BF"/>
      <w:sz w:val="25"/>
      <w:szCs w:val="25"/>
    </w:rPr>
  </w:style>
  <w:style w:type="character" w:customStyle="1" w:styleId="Heading4Char">
    <w:name w:val="Heading 4 Char"/>
    <w:basedOn w:val="DefaultParagraphFont"/>
    <w:link w:val="Heading4"/>
    <w:uiPriority w:val="9"/>
    <w:semiHidden/>
    <w:rsid w:val="00202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C07"/>
    <w:rPr>
      <w:rFonts w:eastAsiaTheme="majorEastAsia" w:cstheme="majorBidi"/>
      <w:color w:val="272727" w:themeColor="text1" w:themeTint="D8"/>
    </w:rPr>
  </w:style>
  <w:style w:type="paragraph" w:styleId="Title">
    <w:name w:val="Title"/>
    <w:basedOn w:val="Normal"/>
    <w:next w:val="Normal"/>
    <w:link w:val="TitleChar"/>
    <w:uiPriority w:val="10"/>
    <w:qFormat/>
    <w:rsid w:val="00202C07"/>
    <w:pPr>
      <w:spacing w:after="80" w:line="240" w:lineRule="auto"/>
      <w:contextualSpacing/>
    </w:pPr>
    <w:rPr>
      <w:rFonts w:asciiTheme="majorHAnsi" w:eastAsiaTheme="majorEastAsia" w:hAnsiTheme="majorHAnsi" w:cstheme="majorBidi"/>
      <w:spacing w:val="-10"/>
      <w:kern w:val="28"/>
      <w:sz w:val="50"/>
      <w:szCs w:val="50"/>
    </w:rPr>
  </w:style>
  <w:style w:type="character" w:customStyle="1" w:styleId="TitleChar">
    <w:name w:val="Title Char"/>
    <w:basedOn w:val="DefaultParagraphFont"/>
    <w:link w:val="Title"/>
    <w:uiPriority w:val="10"/>
    <w:rsid w:val="00202C07"/>
    <w:rPr>
      <w:rFonts w:asciiTheme="majorHAnsi" w:eastAsiaTheme="majorEastAsia" w:hAnsiTheme="majorHAnsi" w:cstheme="majorBidi"/>
      <w:spacing w:val="-10"/>
      <w:kern w:val="28"/>
      <w:sz w:val="50"/>
      <w:szCs w:val="50"/>
    </w:rPr>
  </w:style>
  <w:style w:type="paragraph" w:styleId="Subtitle">
    <w:name w:val="Subtitle"/>
    <w:basedOn w:val="Normal"/>
    <w:next w:val="Normal"/>
    <w:link w:val="SubtitleChar"/>
    <w:uiPriority w:val="11"/>
    <w:qFormat/>
    <w:rsid w:val="00202C07"/>
    <w:pPr>
      <w:numPr>
        <w:ilvl w:val="1"/>
      </w:numPr>
    </w:pPr>
    <w:rPr>
      <w:rFonts w:eastAsiaTheme="majorEastAsia" w:cstheme="majorBidi"/>
      <w:color w:val="595959" w:themeColor="text1" w:themeTint="A6"/>
      <w:spacing w:val="15"/>
      <w:sz w:val="25"/>
      <w:szCs w:val="25"/>
    </w:rPr>
  </w:style>
  <w:style w:type="character" w:customStyle="1" w:styleId="SubtitleChar">
    <w:name w:val="Subtitle Char"/>
    <w:basedOn w:val="DefaultParagraphFont"/>
    <w:link w:val="Subtitle"/>
    <w:uiPriority w:val="11"/>
    <w:rsid w:val="00202C07"/>
    <w:rPr>
      <w:rFonts w:eastAsiaTheme="majorEastAsia" w:cstheme="majorBidi"/>
      <w:color w:val="595959" w:themeColor="text1" w:themeTint="A6"/>
      <w:spacing w:val="15"/>
      <w:sz w:val="25"/>
      <w:szCs w:val="25"/>
    </w:rPr>
  </w:style>
  <w:style w:type="paragraph" w:styleId="Quote">
    <w:name w:val="Quote"/>
    <w:basedOn w:val="Normal"/>
    <w:next w:val="Normal"/>
    <w:link w:val="QuoteChar"/>
    <w:uiPriority w:val="29"/>
    <w:qFormat/>
    <w:rsid w:val="00202C07"/>
    <w:pPr>
      <w:spacing w:before="160"/>
      <w:jc w:val="center"/>
    </w:pPr>
    <w:rPr>
      <w:i/>
      <w:iCs/>
      <w:color w:val="404040" w:themeColor="text1" w:themeTint="BF"/>
    </w:rPr>
  </w:style>
  <w:style w:type="character" w:customStyle="1" w:styleId="QuoteChar">
    <w:name w:val="Quote Char"/>
    <w:basedOn w:val="DefaultParagraphFont"/>
    <w:link w:val="Quote"/>
    <w:uiPriority w:val="29"/>
    <w:rsid w:val="00202C07"/>
    <w:rPr>
      <w:i/>
      <w:iCs/>
      <w:color w:val="404040" w:themeColor="text1" w:themeTint="BF"/>
    </w:rPr>
  </w:style>
  <w:style w:type="paragraph" w:styleId="ListParagraph">
    <w:name w:val="List Paragraph"/>
    <w:basedOn w:val="Normal"/>
    <w:uiPriority w:val="34"/>
    <w:qFormat/>
    <w:rsid w:val="00202C07"/>
    <w:pPr>
      <w:ind w:left="720"/>
      <w:contextualSpacing/>
    </w:pPr>
  </w:style>
  <w:style w:type="character" w:styleId="IntenseEmphasis">
    <w:name w:val="Intense Emphasis"/>
    <w:basedOn w:val="DefaultParagraphFont"/>
    <w:uiPriority w:val="21"/>
    <w:qFormat/>
    <w:rsid w:val="00202C07"/>
    <w:rPr>
      <w:i/>
      <w:iCs/>
      <w:color w:val="0F4761" w:themeColor="accent1" w:themeShade="BF"/>
    </w:rPr>
  </w:style>
  <w:style w:type="paragraph" w:styleId="IntenseQuote">
    <w:name w:val="Intense Quote"/>
    <w:basedOn w:val="Normal"/>
    <w:next w:val="Normal"/>
    <w:link w:val="IntenseQuoteChar"/>
    <w:uiPriority w:val="30"/>
    <w:qFormat/>
    <w:rsid w:val="00202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C07"/>
    <w:rPr>
      <w:i/>
      <w:iCs/>
      <w:color w:val="0F4761" w:themeColor="accent1" w:themeShade="BF"/>
    </w:rPr>
  </w:style>
  <w:style w:type="character" w:styleId="IntenseReference">
    <w:name w:val="Intense Reference"/>
    <w:basedOn w:val="DefaultParagraphFont"/>
    <w:uiPriority w:val="32"/>
    <w:qFormat/>
    <w:rsid w:val="00202C07"/>
    <w:rPr>
      <w:b/>
      <w:bCs/>
      <w:smallCaps/>
      <w:color w:val="0F4761" w:themeColor="accent1" w:themeShade="BF"/>
      <w:spacing w:val="5"/>
    </w:rPr>
  </w:style>
  <w:style w:type="paragraph" w:styleId="FootnoteText">
    <w:name w:val="footnote text"/>
    <w:basedOn w:val="Normal"/>
    <w:link w:val="FootnoteTextChar"/>
    <w:uiPriority w:val="99"/>
    <w:unhideWhenUsed/>
    <w:rsid w:val="007F1DB4"/>
    <w:pPr>
      <w:spacing w:after="0" w:line="240" w:lineRule="auto"/>
    </w:pPr>
    <w:rPr>
      <w:sz w:val="18"/>
      <w:szCs w:val="18"/>
    </w:rPr>
  </w:style>
  <w:style w:type="character" w:customStyle="1" w:styleId="FootnoteTextChar">
    <w:name w:val="Footnote Text Char"/>
    <w:basedOn w:val="DefaultParagraphFont"/>
    <w:link w:val="FootnoteText"/>
    <w:uiPriority w:val="99"/>
    <w:rsid w:val="007F1DB4"/>
    <w:rPr>
      <w:sz w:val="18"/>
      <w:szCs w:val="18"/>
    </w:rPr>
  </w:style>
  <w:style w:type="character" w:styleId="FootnoteReference">
    <w:name w:val="footnote reference"/>
    <w:basedOn w:val="DefaultParagraphFont"/>
    <w:uiPriority w:val="99"/>
    <w:semiHidden/>
    <w:unhideWhenUsed/>
    <w:rsid w:val="007F1DB4"/>
    <w:rPr>
      <w:vertAlign w:val="superscript"/>
    </w:rPr>
  </w:style>
  <w:style w:type="character" w:styleId="Hyperlink">
    <w:name w:val="Hyperlink"/>
    <w:basedOn w:val="DefaultParagraphFont"/>
    <w:uiPriority w:val="99"/>
    <w:unhideWhenUsed/>
    <w:rsid w:val="007F1DB4"/>
    <w:rPr>
      <w:color w:val="467886" w:themeColor="hyperlink"/>
      <w:u w:val="single"/>
    </w:rPr>
  </w:style>
  <w:style w:type="character" w:styleId="UnresolvedMention">
    <w:name w:val="Unresolved Mention"/>
    <w:basedOn w:val="DefaultParagraphFont"/>
    <w:uiPriority w:val="99"/>
    <w:semiHidden/>
    <w:unhideWhenUsed/>
    <w:rsid w:val="007F1DB4"/>
    <w:rPr>
      <w:color w:val="605E5C"/>
      <w:shd w:val="clear" w:color="auto" w:fill="E1DFDD"/>
    </w:rPr>
  </w:style>
  <w:style w:type="paragraph" w:styleId="TOCHeading">
    <w:name w:val="TOC Heading"/>
    <w:basedOn w:val="Heading1"/>
    <w:next w:val="Normal"/>
    <w:uiPriority w:val="39"/>
    <w:unhideWhenUsed/>
    <w:qFormat/>
    <w:rsid w:val="00DD5574"/>
    <w:pPr>
      <w:spacing w:before="480" w:after="0" w:line="276" w:lineRule="auto"/>
      <w:outlineLvl w:val="9"/>
    </w:pPr>
    <w:rPr>
      <w:b/>
      <w:bCs/>
      <w:kern w:val="0"/>
      <w:sz w:val="25"/>
      <w:szCs w:val="25"/>
      <w:lang w:val="en-US"/>
      <w14:ligatures w14:val="none"/>
    </w:rPr>
  </w:style>
  <w:style w:type="paragraph" w:styleId="TOC2">
    <w:name w:val="toc 2"/>
    <w:basedOn w:val="Normal"/>
    <w:next w:val="Normal"/>
    <w:autoRedefine/>
    <w:uiPriority w:val="39"/>
    <w:unhideWhenUsed/>
    <w:rsid w:val="00DD5574"/>
    <w:pPr>
      <w:spacing w:before="120" w:after="0"/>
      <w:ind w:left="240"/>
    </w:pPr>
    <w:rPr>
      <w:b/>
      <w:bCs/>
      <w:sz w:val="19"/>
      <w:szCs w:val="19"/>
    </w:rPr>
  </w:style>
  <w:style w:type="paragraph" w:styleId="TOC1">
    <w:name w:val="toc 1"/>
    <w:basedOn w:val="Normal"/>
    <w:next w:val="Normal"/>
    <w:autoRedefine/>
    <w:uiPriority w:val="39"/>
    <w:semiHidden/>
    <w:unhideWhenUsed/>
    <w:rsid w:val="00DD5574"/>
    <w:pPr>
      <w:spacing w:before="120" w:after="0"/>
    </w:pPr>
    <w:rPr>
      <w:b/>
      <w:bCs/>
      <w:i/>
      <w:iCs/>
    </w:rPr>
  </w:style>
  <w:style w:type="paragraph" w:styleId="TOC3">
    <w:name w:val="toc 3"/>
    <w:basedOn w:val="Normal"/>
    <w:next w:val="Normal"/>
    <w:autoRedefine/>
    <w:uiPriority w:val="39"/>
    <w:semiHidden/>
    <w:unhideWhenUsed/>
    <w:rsid w:val="00DD5574"/>
    <w:pPr>
      <w:spacing w:after="0"/>
      <w:ind w:left="480"/>
    </w:pPr>
    <w:rPr>
      <w:sz w:val="18"/>
      <w:szCs w:val="18"/>
    </w:rPr>
  </w:style>
  <w:style w:type="paragraph" w:styleId="TOC4">
    <w:name w:val="toc 4"/>
    <w:basedOn w:val="Normal"/>
    <w:next w:val="Normal"/>
    <w:autoRedefine/>
    <w:uiPriority w:val="39"/>
    <w:semiHidden/>
    <w:unhideWhenUsed/>
    <w:rsid w:val="00DD5574"/>
    <w:pPr>
      <w:spacing w:after="0"/>
      <w:ind w:left="720"/>
    </w:pPr>
    <w:rPr>
      <w:sz w:val="18"/>
      <w:szCs w:val="18"/>
    </w:rPr>
  </w:style>
  <w:style w:type="paragraph" w:styleId="TOC5">
    <w:name w:val="toc 5"/>
    <w:basedOn w:val="Normal"/>
    <w:next w:val="Normal"/>
    <w:autoRedefine/>
    <w:uiPriority w:val="39"/>
    <w:semiHidden/>
    <w:unhideWhenUsed/>
    <w:rsid w:val="00DD5574"/>
    <w:pPr>
      <w:spacing w:after="0"/>
      <w:ind w:left="960"/>
    </w:pPr>
    <w:rPr>
      <w:sz w:val="18"/>
      <w:szCs w:val="18"/>
    </w:rPr>
  </w:style>
  <w:style w:type="paragraph" w:styleId="TOC6">
    <w:name w:val="toc 6"/>
    <w:basedOn w:val="Normal"/>
    <w:next w:val="Normal"/>
    <w:autoRedefine/>
    <w:uiPriority w:val="39"/>
    <w:semiHidden/>
    <w:unhideWhenUsed/>
    <w:rsid w:val="00DD5574"/>
    <w:pPr>
      <w:spacing w:after="0"/>
      <w:ind w:left="1200"/>
    </w:pPr>
    <w:rPr>
      <w:sz w:val="18"/>
      <w:szCs w:val="18"/>
    </w:rPr>
  </w:style>
  <w:style w:type="paragraph" w:styleId="TOC7">
    <w:name w:val="toc 7"/>
    <w:basedOn w:val="Normal"/>
    <w:next w:val="Normal"/>
    <w:autoRedefine/>
    <w:uiPriority w:val="39"/>
    <w:semiHidden/>
    <w:unhideWhenUsed/>
    <w:rsid w:val="00DD5574"/>
    <w:pPr>
      <w:spacing w:after="0"/>
      <w:ind w:left="1440"/>
    </w:pPr>
    <w:rPr>
      <w:sz w:val="18"/>
      <w:szCs w:val="18"/>
    </w:rPr>
  </w:style>
  <w:style w:type="paragraph" w:styleId="TOC8">
    <w:name w:val="toc 8"/>
    <w:basedOn w:val="Normal"/>
    <w:next w:val="Normal"/>
    <w:autoRedefine/>
    <w:uiPriority w:val="39"/>
    <w:semiHidden/>
    <w:unhideWhenUsed/>
    <w:rsid w:val="00DD5574"/>
    <w:pPr>
      <w:spacing w:after="0"/>
      <w:ind w:left="1680"/>
    </w:pPr>
    <w:rPr>
      <w:sz w:val="18"/>
      <w:szCs w:val="18"/>
    </w:rPr>
  </w:style>
  <w:style w:type="paragraph" w:styleId="TOC9">
    <w:name w:val="toc 9"/>
    <w:basedOn w:val="Normal"/>
    <w:next w:val="Normal"/>
    <w:autoRedefine/>
    <w:uiPriority w:val="39"/>
    <w:semiHidden/>
    <w:unhideWhenUsed/>
    <w:rsid w:val="00DD5574"/>
    <w:pPr>
      <w:spacing w:after="0"/>
      <w:ind w:left="1920"/>
    </w:pPr>
    <w:rPr>
      <w:sz w:val="18"/>
      <w:szCs w:val="18"/>
    </w:rPr>
  </w:style>
  <w:style w:type="paragraph" w:styleId="Footer">
    <w:name w:val="footer"/>
    <w:basedOn w:val="Normal"/>
    <w:link w:val="FooterChar"/>
    <w:uiPriority w:val="99"/>
    <w:unhideWhenUsed/>
    <w:rsid w:val="00773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C06"/>
  </w:style>
  <w:style w:type="character" w:styleId="PageNumber">
    <w:name w:val="page number"/>
    <w:basedOn w:val="DefaultParagraphFont"/>
    <w:uiPriority w:val="99"/>
    <w:semiHidden/>
    <w:unhideWhenUsed/>
    <w:rsid w:val="00773C06"/>
  </w:style>
  <w:style w:type="paragraph" w:styleId="Header">
    <w:name w:val="header"/>
    <w:basedOn w:val="Normal"/>
    <w:link w:val="HeaderChar"/>
    <w:uiPriority w:val="99"/>
    <w:unhideWhenUsed/>
    <w:rsid w:val="00773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C06"/>
  </w:style>
  <w:style w:type="character" w:styleId="CommentReference">
    <w:name w:val="annotation reference"/>
    <w:basedOn w:val="DefaultParagraphFont"/>
    <w:uiPriority w:val="99"/>
    <w:semiHidden/>
    <w:unhideWhenUsed/>
    <w:rsid w:val="00965A84"/>
    <w:rPr>
      <w:sz w:val="14"/>
      <w:szCs w:val="14"/>
    </w:rPr>
  </w:style>
  <w:style w:type="paragraph" w:styleId="CommentText">
    <w:name w:val="annotation text"/>
    <w:basedOn w:val="Normal"/>
    <w:link w:val="CommentTextChar"/>
    <w:uiPriority w:val="99"/>
    <w:unhideWhenUsed/>
    <w:rsid w:val="00965A84"/>
    <w:pPr>
      <w:spacing w:line="240" w:lineRule="auto"/>
    </w:pPr>
    <w:rPr>
      <w:sz w:val="18"/>
      <w:szCs w:val="18"/>
    </w:rPr>
  </w:style>
  <w:style w:type="character" w:customStyle="1" w:styleId="CommentTextChar">
    <w:name w:val="Comment Text Char"/>
    <w:basedOn w:val="DefaultParagraphFont"/>
    <w:link w:val="CommentText"/>
    <w:uiPriority w:val="99"/>
    <w:rsid w:val="00965A84"/>
    <w:rPr>
      <w:sz w:val="18"/>
      <w:szCs w:val="18"/>
    </w:rPr>
  </w:style>
  <w:style w:type="paragraph" w:styleId="CommentSubject">
    <w:name w:val="annotation subject"/>
    <w:basedOn w:val="CommentText"/>
    <w:next w:val="CommentText"/>
    <w:link w:val="CommentSubjectChar"/>
    <w:uiPriority w:val="99"/>
    <w:semiHidden/>
    <w:unhideWhenUsed/>
    <w:rsid w:val="00965A84"/>
    <w:rPr>
      <w:b/>
      <w:bCs/>
    </w:rPr>
  </w:style>
  <w:style w:type="character" w:customStyle="1" w:styleId="CommentSubjectChar">
    <w:name w:val="Comment Subject Char"/>
    <w:basedOn w:val="CommentTextChar"/>
    <w:link w:val="CommentSubject"/>
    <w:uiPriority w:val="99"/>
    <w:semiHidden/>
    <w:rsid w:val="00965A84"/>
    <w:rPr>
      <w:b/>
      <w:bCs/>
      <w:sz w:val="18"/>
      <w:szCs w:val="18"/>
    </w:rPr>
  </w:style>
  <w:style w:type="paragraph" w:styleId="Revision">
    <w:name w:val="Revision"/>
    <w:hidden/>
    <w:uiPriority w:val="99"/>
    <w:semiHidden/>
    <w:rsid w:val="00192954"/>
    <w:pPr>
      <w:spacing w:after="0" w:line="240" w:lineRule="auto"/>
    </w:pPr>
  </w:style>
  <w:style w:type="paragraph" w:styleId="NormalWeb">
    <w:name w:val="Normal (Web)"/>
    <w:basedOn w:val="Normal"/>
    <w:uiPriority w:val="99"/>
    <w:unhideWhenUsed/>
    <w:rsid w:val="00DB263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4B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2F8"/>
    <w:pPr>
      <w:autoSpaceDE w:val="0"/>
      <w:autoSpaceDN w:val="0"/>
      <w:adjustRightInd w:val="0"/>
      <w:spacing w:after="0" w:line="240" w:lineRule="auto"/>
    </w:pPr>
    <w:rPr>
      <w:rFonts w:ascii="Arial" w:hAnsi="Arial" w:cs="Arial"/>
      <w:color w:val="000000"/>
      <w:kern w:val="0"/>
    </w:rPr>
  </w:style>
  <w:style w:type="character" w:styleId="FollowedHyperlink">
    <w:name w:val="FollowedHyperlink"/>
    <w:basedOn w:val="DefaultParagraphFont"/>
    <w:uiPriority w:val="99"/>
    <w:semiHidden/>
    <w:unhideWhenUsed/>
    <w:rsid w:val="00702F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2421">
      <w:bodyDiv w:val="1"/>
      <w:marLeft w:val="0"/>
      <w:marRight w:val="0"/>
      <w:marTop w:val="0"/>
      <w:marBottom w:val="0"/>
      <w:divBdr>
        <w:top w:val="none" w:sz="0" w:space="0" w:color="auto"/>
        <w:left w:val="none" w:sz="0" w:space="0" w:color="auto"/>
        <w:bottom w:val="none" w:sz="0" w:space="0" w:color="auto"/>
        <w:right w:val="none" w:sz="0" w:space="0" w:color="auto"/>
      </w:divBdr>
    </w:div>
    <w:div w:id="263345660">
      <w:bodyDiv w:val="1"/>
      <w:marLeft w:val="0"/>
      <w:marRight w:val="0"/>
      <w:marTop w:val="0"/>
      <w:marBottom w:val="0"/>
      <w:divBdr>
        <w:top w:val="none" w:sz="0" w:space="0" w:color="auto"/>
        <w:left w:val="none" w:sz="0" w:space="0" w:color="auto"/>
        <w:bottom w:val="none" w:sz="0" w:space="0" w:color="auto"/>
        <w:right w:val="none" w:sz="0" w:space="0" w:color="auto"/>
      </w:divBdr>
    </w:div>
    <w:div w:id="331640767">
      <w:bodyDiv w:val="1"/>
      <w:marLeft w:val="0"/>
      <w:marRight w:val="0"/>
      <w:marTop w:val="0"/>
      <w:marBottom w:val="0"/>
      <w:divBdr>
        <w:top w:val="none" w:sz="0" w:space="0" w:color="auto"/>
        <w:left w:val="none" w:sz="0" w:space="0" w:color="auto"/>
        <w:bottom w:val="none" w:sz="0" w:space="0" w:color="auto"/>
        <w:right w:val="none" w:sz="0" w:space="0" w:color="auto"/>
      </w:divBdr>
    </w:div>
    <w:div w:id="446242760">
      <w:bodyDiv w:val="1"/>
      <w:marLeft w:val="0"/>
      <w:marRight w:val="0"/>
      <w:marTop w:val="0"/>
      <w:marBottom w:val="0"/>
      <w:divBdr>
        <w:top w:val="none" w:sz="0" w:space="0" w:color="auto"/>
        <w:left w:val="none" w:sz="0" w:space="0" w:color="auto"/>
        <w:bottom w:val="none" w:sz="0" w:space="0" w:color="auto"/>
        <w:right w:val="none" w:sz="0" w:space="0" w:color="auto"/>
      </w:divBdr>
    </w:div>
    <w:div w:id="625966522">
      <w:bodyDiv w:val="1"/>
      <w:marLeft w:val="0"/>
      <w:marRight w:val="0"/>
      <w:marTop w:val="0"/>
      <w:marBottom w:val="0"/>
      <w:divBdr>
        <w:top w:val="none" w:sz="0" w:space="0" w:color="auto"/>
        <w:left w:val="none" w:sz="0" w:space="0" w:color="auto"/>
        <w:bottom w:val="none" w:sz="0" w:space="0" w:color="auto"/>
        <w:right w:val="none" w:sz="0" w:space="0" w:color="auto"/>
      </w:divBdr>
      <w:divsChild>
        <w:div w:id="1025643062">
          <w:marLeft w:val="0"/>
          <w:marRight w:val="0"/>
          <w:marTop w:val="0"/>
          <w:marBottom w:val="0"/>
          <w:divBdr>
            <w:top w:val="none" w:sz="0" w:space="0" w:color="auto"/>
            <w:left w:val="none" w:sz="0" w:space="0" w:color="auto"/>
            <w:bottom w:val="none" w:sz="0" w:space="0" w:color="auto"/>
            <w:right w:val="none" w:sz="0" w:space="0" w:color="auto"/>
          </w:divBdr>
          <w:divsChild>
            <w:div w:id="2037803337">
              <w:marLeft w:val="0"/>
              <w:marRight w:val="0"/>
              <w:marTop w:val="0"/>
              <w:marBottom w:val="0"/>
              <w:divBdr>
                <w:top w:val="none" w:sz="0" w:space="0" w:color="auto"/>
                <w:left w:val="none" w:sz="0" w:space="0" w:color="auto"/>
                <w:bottom w:val="none" w:sz="0" w:space="0" w:color="auto"/>
                <w:right w:val="none" w:sz="0" w:space="0" w:color="auto"/>
              </w:divBdr>
              <w:divsChild>
                <w:div w:id="1191336843">
                  <w:marLeft w:val="0"/>
                  <w:marRight w:val="0"/>
                  <w:marTop w:val="0"/>
                  <w:marBottom w:val="0"/>
                  <w:divBdr>
                    <w:top w:val="none" w:sz="0" w:space="0" w:color="auto"/>
                    <w:left w:val="none" w:sz="0" w:space="0" w:color="auto"/>
                    <w:bottom w:val="none" w:sz="0" w:space="0" w:color="auto"/>
                    <w:right w:val="none" w:sz="0" w:space="0" w:color="auto"/>
                  </w:divBdr>
                  <w:divsChild>
                    <w:div w:id="7523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29937">
      <w:bodyDiv w:val="1"/>
      <w:marLeft w:val="0"/>
      <w:marRight w:val="0"/>
      <w:marTop w:val="0"/>
      <w:marBottom w:val="0"/>
      <w:divBdr>
        <w:top w:val="none" w:sz="0" w:space="0" w:color="auto"/>
        <w:left w:val="none" w:sz="0" w:space="0" w:color="auto"/>
        <w:bottom w:val="none" w:sz="0" w:space="0" w:color="auto"/>
        <w:right w:val="none" w:sz="0" w:space="0" w:color="auto"/>
      </w:divBdr>
      <w:divsChild>
        <w:div w:id="1869248708">
          <w:marLeft w:val="0"/>
          <w:marRight w:val="0"/>
          <w:marTop w:val="0"/>
          <w:marBottom w:val="0"/>
          <w:divBdr>
            <w:top w:val="none" w:sz="0" w:space="0" w:color="auto"/>
            <w:left w:val="none" w:sz="0" w:space="0" w:color="auto"/>
            <w:bottom w:val="none" w:sz="0" w:space="0" w:color="auto"/>
            <w:right w:val="none" w:sz="0" w:space="0" w:color="auto"/>
          </w:divBdr>
          <w:divsChild>
            <w:div w:id="199049357">
              <w:marLeft w:val="0"/>
              <w:marRight w:val="0"/>
              <w:marTop w:val="0"/>
              <w:marBottom w:val="0"/>
              <w:divBdr>
                <w:top w:val="none" w:sz="0" w:space="0" w:color="auto"/>
                <w:left w:val="none" w:sz="0" w:space="0" w:color="auto"/>
                <w:bottom w:val="none" w:sz="0" w:space="0" w:color="auto"/>
                <w:right w:val="none" w:sz="0" w:space="0" w:color="auto"/>
              </w:divBdr>
              <w:divsChild>
                <w:div w:id="1221214793">
                  <w:marLeft w:val="0"/>
                  <w:marRight w:val="0"/>
                  <w:marTop w:val="0"/>
                  <w:marBottom w:val="0"/>
                  <w:divBdr>
                    <w:top w:val="none" w:sz="0" w:space="0" w:color="auto"/>
                    <w:left w:val="none" w:sz="0" w:space="0" w:color="auto"/>
                    <w:bottom w:val="none" w:sz="0" w:space="0" w:color="auto"/>
                    <w:right w:val="none" w:sz="0" w:space="0" w:color="auto"/>
                  </w:divBdr>
                  <w:divsChild>
                    <w:div w:id="914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03857">
      <w:bodyDiv w:val="1"/>
      <w:marLeft w:val="0"/>
      <w:marRight w:val="0"/>
      <w:marTop w:val="0"/>
      <w:marBottom w:val="0"/>
      <w:divBdr>
        <w:top w:val="none" w:sz="0" w:space="0" w:color="auto"/>
        <w:left w:val="none" w:sz="0" w:space="0" w:color="auto"/>
        <w:bottom w:val="none" w:sz="0" w:space="0" w:color="auto"/>
        <w:right w:val="none" w:sz="0" w:space="0" w:color="auto"/>
      </w:divBdr>
    </w:div>
    <w:div w:id="783765857">
      <w:bodyDiv w:val="1"/>
      <w:marLeft w:val="0"/>
      <w:marRight w:val="0"/>
      <w:marTop w:val="0"/>
      <w:marBottom w:val="0"/>
      <w:divBdr>
        <w:top w:val="none" w:sz="0" w:space="0" w:color="auto"/>
        <w:left w:val="none" w:sz="0" w:space="0" w:color="auto"/>
        <w:bottom w:val="none" w:sz="0" w:space="0" w:color="auto"/>
        <w:right w:val="none" w:sz="0" w:space="0" w:color="auto"/>
      </w:divBdr>
    </w:div>
    <w:div w:id="896549665">
      <w:bodyDiv w:val="1"/>
      <w:marLeft w:val="0"/>
      <w:marRight w:val="0"/>
      <w:marTop w:val="0"/>
      <w:marBottom w:val="0"/>
      <w:divBdr>
        <w:top w:val="none" w:sz="0" w:space="0" w:color="auto"/>
        <w:left w:val="none" w:sz="0" w:space="0" w:color="auto"/>
        <w:bottom w:val="none" w:sz="0" w:space="0" w:color="auto"/>
        <w:right w:val="none" w:sz="0" w:space="0" w:color="auto"/>
      </w:divBdr>
    </w:div>
    <w:div w:id="965239777">
      <w:bodyDiv w:val="1"/>
      <w:marLeft w:val="0"/>
      <w:marRight w:val="0"/>
      <w:marTop w:val="0"/>
      <w:marBottom w:val="0"/>
      <w:divBdr>
        <w:top w:val="none" w:sz="0" w:space="0" w:color="auto"/>
        <w:left w:val="none" w:sz="0" w:space="0" w:color="auto"/>
        <w:bottom w:val="none" w:sz="0" w:space="0" w:color="auto"/>
        <w:right w:val="none" w:sz="0" w:space="0" w:color="auto"/>
      </w:divBdr>
    </w:div>
    <w:div w:id="1125387990">
      <w:bodyDiv w:val="1"/>
      <w:marLeft w:val="0"/>
      <w:marRight w:val="0"/>
      <w:marTop w:val="0"/>
      <w:marBottom w:val="0"/>
      <w:divBdr>
        <w:top w:val="none" w:sz="0" w:space="0" w:color="auto"/>
        <w:left w:val="none" w:sz="0" w:space="0" w:color="auto"/>
        <w:bottom w:val="none" w:sz="0" w:space="0" w:color="auto"/>
        <w:right w:val="none" w:sz="0" w:space="0" w:color="auto"/>
      </w:divBdr>
    </w:div>
    <w:div w:id="1125583325">
      <w:bodyDiv w:val="1"/>
      <w:marLeft w:val="0"/>
      <w:marRight w:val="0"/>
      <w:marTop w:val="0"/>
      <w:marBottom w:val="0"/>
      <w:divBdr>
        <w:top w:val="none" w:sz="0" w:space="0" w:color="auto"/>
        <w:left w:val="none" w:sz="0" w:space="0" w:color="auto"/>
        <w:bottom w:val="none" w:sz="0" w:space="0" w:color="auto"/>
        <w:right w:val="none" w:sz="0" w:space="0" w:color="auto"/>
      </w:divBdr>
    </w:div>
    <w:div w:id="1166288823">
      <w:bodyDiv w:val="1"/>
      <w:marLeft w:val="0"/>
      <w:marRight w:val="0"/>
      <w:marTop w:val="0"/>
      <w:marBottom w:val="0"/>
      <w:divBdr>
        <w:top w:val="none" w:sz="0" w:space="0" w:color="auto"/>
        <w:left w:val="none" w:sz="0" w:space="0" w:color="auto"/>
        <w:bottom w:val="none" w:sz="0" w:space="0" w:color="auto"/>
        <w:right w:val="none" w:sz="0" w:space="0" w:color="auto"/>
      </w:divBdr>
    </w:div>
    <w:div w:id="1176075913">
      <w:bodyDiv w:val="1"/>
      <w:marLeft w:val="0"/>
      <w:marRight w:val="0"/>
      <w:marTop w:val="0"/>
      <w:marBottom w:val="0"/>
      <w:divBdr>
        <w:top w:val="none" w:sz="0" w:space="0" w:color="auto"/>
        <w:left w:val="none" w:sz="0" w:space="0" w:color="auto"/>
        <w:bottom w:val="none" w:sz="0" w:space="0" w:color="auto"/>
        <w:right w:val="none" w:sz="0" w:space="0" w:color="auto"/>
      </w:divBdr>
    </w:div>
    <w:div w:id="1511220733">
      <w:bodyDiv w:val="1"/>
      <w:marLeft w:val="0"/>
      <w:marRight w:val="0"/>
      <w:marTop w:val="0"/>
      <w:marBottom w:val="0"/>
      <w:divBdr>
        <w:top w:val="none" w:sz="0" w:space="0" w:color="auto"/>
        <w:left w:val="none" w:sz="0" w:space="0" w:color="auto"/>
        <w:bottom w:val="none" w:sz="0" w:space="0" w:color="auto"/>
        <w:right w:val="none" w:sz="0" w:space="0" w:color="auto"/>
      </w:divBdr>
    </w:div>
    <w:div w:id="1834680675">
      <w:bodyDiv w:val="1"/>
      <w:marLeft w:val="0"/>
      <w:marRight w:val="0"/>
      <w:marTop w:val="0"/>
      <w:marBottom w:val="0"/>
      <w:divBdr>
        <w:top w:val="none" w:sz="0" w:space="0" w:color="auto"/>
        <w:left w:val="none" w:sz="0" w:space="0" w:color="auto"/>
        <w:bottom w:val="none" w:sz="0" w:space="0" w:color="auto"/>
        <w:right w:val="none" w:sz="0" w:space="0" w:color="auto"/>
      </w:divBdr>
    </w:div>
    <w:div w:id="1972589341">
      <w:bodyDiv w:val="1"/>
      <w:marLeft w:val="0"/>
      <w:marRight w:val="0"/>
      <w:marTop w:val="0"/>
      <w:marBottom w:val="0"/>
      <w:divBdr>
        <w:top w:val="none" w:sz="0" w:space="0" w:color="auto"/>
        <w:left w:val="none" w:sz="0" w:space="0" w:color="auto"/>
        <w:bottom w:val="none" w:sz="0" w:space="0" w:color="auto"/>
        <w:right w:val="none" w:sz="0" w:space="0" w:color="auto"/>
      </w:divBdr>
      <w:divsChild>
        <w:div w:id="1373118689">
          <w:marLeft w:val="0"/>
          <w:marRight w:val="0"/>
          <w:marTop w:val="0"/>
          <w:marBottom w:val="0"/>
          <w:divBdr>
            <w:top w:val="none" w:sz="0" w:space="0" w:color="auto"/>
            <w:left w:val="none" w:sz="0" w:space="0" w:color="auto"/>
            <w:bottom w:val="none" w:sz="0" w:space="0" w:color="auto"/>
            <w:right w:val="none" w:sz="0" w:space="0" w:color="auto"/>
          </w:divBdr>
          <w:divsChild>
            <w:div w:id="801507414">
              <w:marLeft w:val="0"/>
              <w:marRight w:val="0"/>
              <w:marTop w:val="0"/>
              <w:marBottom w:val="0"/>
              <w:divBdr>
                <w:top w:val="none" w:sz="0" w:space="0" w:color="auto"/>
                <w:left w:val="none" w:sz="0" w:space="0" w:color="auto"/>
                <w:bottom w:val="none" w:sz="0" w:space="0" w:color="auto"/>
                <w:right w:val="none" w:sz="0" w:space="0" w:color="auto"/>
              </w:divBdr>
              <w:divsChild>
                <w:div w:id="1329019068">
                  <w:marLeft w:val="0"/>
                  <w:marRight w:val="0"/>
                  <w:marTop w:val="0"/>
                  <w:marBottom w:val="0"/>
                  <w:divBdr>
                    <w:top w:val="none" w:sz="0" w:space="0" w:color="auto"/>
                    <w:left w:val="none" w:sz="0" w:space="0" w:color="auto"/>
                    <w:bottom w:val="none" w:sz="0" w:space="0" w:color="auto"/>
                    <w:right w:val="none" w:sz="0" w:space="0" w:color="auto"/>
                  </w:divBdr>
                  <w:divsChild>
                    <w:div w:id="11859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27493">
      <w:bodyDiv w:val="1"/>
      <w:marLeft w:val="0"/>
      <w:marRight w:val="0"/>
      <w:marTop w:val="0"/>
      <w:marBottom w:val="0"/>
      <w:divBdr>
        <w:top w:val="none" w:sz="0" w:space="0" w:color="auto"/>
        <w:left w:val="none" w:sz="0" w:space="0" w:color="auto"/>
        <w:bottom w:val="none" w:sz="0" w:space="0" w:color="auto"/>
        <w:right w:val="none" w:sz="0" w:space="0" w:color="auto"/>
      </w:divBdr>
    </w:div>
    <w:div w:id="2011134067">
      <w:bodyDiv w:val="1"/>
      <w:marLeft w:val="0"/>
      <w:marRight w:val="0"/>
      <w:marTop w:val="0"/>
      <w:marBottom w:val="0"/>
      <w:divBdr>
        <w:top w:val="none" w:sz="0" w:space="0" w:color="auto"/>
        <w:left w:val="none" w:sz="0" w:space="0" w:color="auto"/>
        <w:bottom w:val="none" w:sz="0" w:space="0" w:color="auto"/>
        <w:right w:val="none" w:sz="0" w:space="0" w:color="auto"/>
      </w:divBdr>
    </w:div>
    <w:div w:id="21094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ntwicklung.at/fileadmin/user_upload/Dokumente/Evaluierung/Evaluierungs_Leitfaeden/Guidelines_for_Programme_and_Project_Evaluations_ADA_2020.pdf" TargetMode="External"/><Relationship Id="rId18" Type="http://schemas.openxmlformats.org/officeDocument/2006/relationships/hyperlink" Target="http://www.unevaluation.org/document/detail/19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twicklung.at/fileadmin/user_upload/Dokumente/Evaluierung/Englisch/Evaluationpolicy.pdf" TargetMode="External"/><Relationship Id="rId17" Type="http://schemas.openxmlformats.org/officeDocument/2006/relationships/hyperlink" Target="https://procurement-notices.undp.org/view_file.cfm?doc_id=302194" TargetMode="External"/><Relationship Id="rId2" Type="http://schemas.openxmlformats.org/officeDocument/2006/relationships/numbering" Target="numbering.xml"/><Relationship Id="rId16" Type="http://schemas.openxmlformats.org/officeDocument/2006/relationships/hyperlink" Target="https://www.oecd.org/content/dam/oecd/en/publications/reports/2019/12/better-criteria-for-better-evaluation_f7a307eb/15a9c26b-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content/dam/oecd/en/publications/reports/2019/12/better-criteria-for-better-evaluation_f7a307eb/15a9c26b-en.pdf" TargetMode="External"/><Relationship Id="rId5" Type="http://schemas.openxmlformats.org/officeDocument/2006/relationships/webSettings" Target="webSettings.xml"/><Relationship Id="rId15" Type="http://schemas.openxmlformats.org/officeDocument/2006/relationships/hyperlink" Target="https://doi.org/10.19088/IDS.2022.068" TargetMode="External"/><Relationship Id="rId10" Type="http://schemas.openxmlformats.org/officeDocument/2006/relationships/image" Target="media/image1.png"/><Relationship Id="rId19" Type="http://schemas.openxmlformats.org/officeDocument/2006/relationships/hyperlink" Target="https://www.unicef.org/evaluation/media/1786/file/UNICEF%20Procedure%20on%20Ethical%20Standards%20in%20Research,%20Evaluation,%20Data%20Collection%20and%20Analysis.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oogle.com/url?sa=i&amp;url=https%3A%2F%2Fwww.entwicklung.at%2Ffileadmin%2Fuser_upload%2FDokumente%2FEvaluierung%2FEvaluierung_Templates%2FAnnex9_Results_AssessmentForm_Template.xlsx&amp;psig=AOvVaw16K4M8woDXRQeNfrm5RUg5&amp;ust=1732627869981000&amp;source=images&amp;cd=vfe&amp;opi=89978449&amp;ved=0CAYQrpoMahcKEwiw6e6azPeJAxUAAAAAHQAAAAAQB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evaluation.org/document/detail/1914" TargetMode="External"/><Relationship Id="rId2" Type="http://schemas.openxmlformats.org/officeDocument/2006/relationships/hyperlink" Target="https://www.entwicklung.at/fileadmin/user_upload/Dokumente/Evaluierung/Evaluierungs_Leitfaeden/Guidelines_for_Programme_and_Project_Evaluations_ADA_2020.pdf" TargetMode="External"/><Relationship Id="rId1" Type="http://schemas.openxmlformats.org/officeDocument/2006/relationships/hyperlink" Target="https://doi.org/10.19088/IDS.2022.068" TargetMode="External"/><Relationship Id="rId6" Type="http://schemas.openxmlformats.org/officeDocument/2006/relationships/hyperlink" Target="https://www.entwicklung.at/fileadmin/user_upload/Dokumente/Evaluierung/Evaluierungs_Leitfaeden/Guidelines_for_Programme_and_Project_Evaluations_ADA_2020.pdf" TargetMode="External"/><Relationship Id="rId5" Type="http://schemas.openxmlformats.org/officeDocument/2006/relationships/hyperlink" Target="https://www.unicef.org/evaluation/media/1786/file/UNICEF%20Procedure%20on%20Ethical%20Standards%20in%20Research,%20Evaluation,%20Data%20Collection%20and%20Analysis.pdf" TargetMode="External"/><Relationship Id="rId4" Type="http://schemas.openxmlformats.org/officeDocument/2006/relationships/hyperlink" Target="https://procurement-notices.undp.org/view_file.cfm?doc_id=302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74561-E9D1-5E43-AD33-229083A7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4285</Words>
  <Characters>24425</Characters>
  <Application>Microsoft Office Word</Application>
  <DocSecurity>4</DocSecurity>
  <Lines>203</Lines>
  <Paragraphs>57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Bradburn</dc:creator>
  <cp:keywords>, docId:74D983C0C74F8BDCA0DB0F248F27EFD7</cp:keywords>
  <dc:description/>
  <cp:lastModifiedBy>Hellen Ndunge</cp:lastModifiedBy>
  <cp:revision>2</cp:revision>
  <cp:lastPrinted>2024-12-04T12:31:00Z</cp:lastPrinted>
  <dcterms:created xsi:type="dcterms:W3CDTF">2024-12-09T11:40:00Z</dcterms:created>
  <dcterms:modified xsi:type="dcterms:W3CDTF">2024-12-09T11:40:00Z</dcterms:modified>
</cp:coreProperties>
</file>